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기본 배분금 중 80%가 재투자됨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개설·운영한 채널의 운영권은 회사에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채널 인수에는 이전대가가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없이 중도 해지하면 손해배상 예정액(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총매출 15% × 잔여 계약기간 비율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)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위약금이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