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일반 배분대상 순수익은 선수 50%, 회사 50%이며, 선수가 직접 유치해 서면으로 알린 거래는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70%, 회사 30%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등 회사 채널로 들어온 제안은 선수를 지목했더라도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회사 기본 배분금 중 80%가 재투자되며, 쓰지 못한 금액은 이월되고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종료 시 남은 금액의 50%는 선수에게 지급됨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회사가 새로 개설한 채널의 운영권은 회사에 있고,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선수의 기존 계정과 선수 명의 계정은 선수 소유임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회사가 새로 개설한 채널 인수에는 이전대가(해당 채널 미회수 재투자금 + 최근 12개월 순수익)가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없이 중도 해지하면 손해배상 예정액(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총매출 15% × 잔여 계약기간 비율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)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대표자(장호준)가 업무에서 물러나면 선수는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손해배상 예정액·재투자금 반환 없이 해지할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위약금이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수수료·배분비율·서비스 비용의 결정·변경은 서명한 문서로만 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개인정보·민감정보 동의서(14번)를 받았으며, 선택 항목에 동의하지 않아도 불이익이 없음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겸직 허가·소속기관 승인은 계약 전에 받을 것을 권장하며, 받지 않으면 분쟁·징계 등 불이익이 생길 수 있음을 알고 있음. 회사는 준비를 도울 수 있으나 대리인이 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계약 체결·변경 전에 독립적인 법률 조언을 받을 수 있음을 서면으로 안내받았음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