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926080" cy="453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c_logo_bl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53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200"/>
        <w:jc w:val="center"/>
      </w:pPr>
      <w:r>
        <w:rPr>
          <w:rFonts w:ascii="Calibri" w:hAnsi="Calibri" w:eastAsia="Malgun Gothic"/>
          <w:b/>
          <w:color w:val="0B2545"/>
          <w:sz w:val="48"/>
        </w:rPr>
        <w:t>AAC 관계 및 계약유형 안내</w:t>
      </w:r>
    </w:p>
    <w:p>
      <w:pPr>
        <w:spacing w:after="440"/>
        <w:jc w:val="center"/>
      </w:pPr>
      <w:r>
        <w:rPr>
          <w:rFonts w:ascii="Calibri" w:hAnsi="Calibri" w:eastAsia="Malgun Gothic"/>
          <w:color w:val="1F4D78"/>
          <w:sz w:val="24"/>
        </w:rPr>
        <w:t>공식 소속기관 · AAC · Infinite Opportunity</w:t>
      </w:r>
    </w:p>
    <w:p>
      <w:pPr>
        <w:pBdr>
          <w:bottom w:val="single" w:sz="10" w:space="6" w:color="1F4D78"/>
        </w:pBdr>
      </w:pPr>
    </w:p>
    <w:p>
      <w:pPr>
        <w:pStyle w:val="Heading2"/>
        <w:keepNext/>
      </w:pPr>
      <w:r>
        <w:t>AAC 브랜드 멤버십과 계약유형</w:t>
      </w:r>
    </w:p>
    <w:p>
      <w:r>
        <w:rPr>
          <w:rFonts w:ascii="Calibri" w:hAnsi="Calibri" w:eastAsia="Malgun Gothic"/>
          <w:b w:val="0"/>
        </w:rPr>
        <w:t xml:space="preserve">회사(Infinite Opportunity)는 </w:t>
      </w:r>
      <w:r>
        <w:rPr>
          <w:rFonts w:ascii="Calibri" w:hAnsi="Calibri" w:eastAsia="Malgun Gothic"/>
          <w:b/>
        </w:rPr>
        <w:t>Athletics Athlete Club(이하 ‘AAC’)</w:t>
      </w:r>
      <w:r>
        <w:rPr>
          <w:rFonts w:ascii="Calibri" w:hAnsi="Calibri" w:eastAsia="Malgun Gothic"/>
          <w:b w:val="0"/>
        </w:rPr>
        <w:t>을 운영한다. 선수는 계약기간 동안 대외적으로 ‘AAC Athlete’ 또는 AAC의 일원으로 소개될 수 있다. AAC는 선수의 기록·강점·이미지와 커리어 성장을 지원하는 선수 중심의 브랜드 공동체이다.</w:t>
      </w:r>
    </w:p>
    <w:p>
      <w:r>
        <w:rPr>
          <w:rFonts w:ascii="Calibri" w:hAnsi="Calibri" w:eastAsia="Malgun Gothic"/>
          <w:b w:val="0"/>
        </w:rPr>
        <w:t xml:space="preserve">AAC 활동은 선수의 기존 소속팀·학교·직장·코치·경기단체·국가대표 관계를 대체하지 않는다. 공식 소속, 급여, 훈련 지휘, 출전·등록 권한은 각 기관의 계약과 규정에 따르며, 대외 프로필에는 </w:t>
      </w:r>
      <w:r>
        <w:rPr>
          <w:rFonts w:ascii="Calibri" w:hAnsi="Calibri" w:eastAsia="Malgun Gothic"/>
          <w:b/>
        </w:rPr>
        <w:t>‘AAC Athlete | 공식 소속기관명’</w:t>
      </w:r>
      <w:r>
        <w:rPr>
          <w:rFonts w:ascii="Calibri" w:hAnsi="Calibri" w:eastAsia="Malgun Gothic"/>
          <w:b w:val="0"/>
        </w:rPr>
        <w:t>을 함께 표시할 수 있다.</w:t>
      </w:r>
    </w:p>
    <w:p>
      <w:r>
        <w:rPr>
          <w:rFonts w:ascii="Calibri" w:hAnsi="Calibri" w:eastAsia="Malgun Gothic"/>
          <w:b w:val="0"/>
        </w:rPr>
        <w:t xml:space="preserve">장기형은 커리어·브랜드·콘텐츠와 재투자를 포함한 </w:t>
      </w:r>
      <w:r>
        <w:rPr>
          <w:rFonts w:ascii="Calibri" w:hAnsi="Calibri" w:eastAsia="Malgun Gothic"/>
          <w:b/>
        </w:rPr>
        <w:t>성장형 종합 매니지먼트</w:t>
      </w:r>
      <w:r>
        <w:rPr>
          <w:rFonts w:ascii="Calibri" w:hAnsi="Calibri" w:eastAsia="Malgun Gothic"/>
          <w:b w:val="0"/>
        </w:rPr>
        <w:t xml:space="preserve">, 단기형은 회사 유치 상업거래를 교섭·진행·정산하는 </w:t>
      </w:r>
      <w:r>
        <w:rPr>
          <w:rFonts w:ascii="Calibri" w:hAnsi="Calibri" w:eastAsia="Malgun Gothic"/>
          <w:b/>
        </w:rPr>
        <w:t>거래 중심 에이전시</w:t>
      </w:r>
      <w:r>
        <w:rPr>
          <w:rFonts w:ascii="Calibri" w:hAnsi="Calibri" w:eastAsia="Malgun Gothic"/>
          <w:b w:val="0"/>
        </w:rPr>
        <w:t>이다. 두 유형은 선수 등급이 아니라 업무범위의 차이이다.</w:t>
      </w:r>
    </w:p>
    <w:p>
      <w:pPr>
        <w:pStyle w:val="Heading2"/>
        <w:keepNext/>
      </w:pPr>
      <w:r>
        <w:t>회사·AAC·공식 소속기관의 역할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833"/>
        <w:gridCol w:w="2833"/>
        <w:gridCol w:w="2834"/>
      </w:tblGrid>
      <w:tr>
        <w:trPr>
          <w:tblHeader w:val="true"/>
          <w:tblHeader/>
          <w:cantSplit/>
        </w:trPr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구분</w:t>
            </w:r>
          </w:p>
        </w:tc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주된 역할</w:t>
            </w:r>
          </w:p>
        </w:tc>
        <w:tc>
          <w:tcPr>
            <w:tcW w:type="dxa" w:w="28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바뀌지 않는 것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공식 소속기관·코치</w:t>
            </w:r>
          </w:p>
        </w:tc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고용·재학·훈련·경기·선발·등록</w:t>
            </w:r>
          </w:p>
        </w:tc>
        <w:tc>
          <w:tcPr>
            <w:tcW w:type="dxa" w:w="28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급여, 훈련 지휘, 대회 출전 권한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AAC</w:t>
            </w:r>
          </w:p>
        </w:tc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대외 브랜드 정체성, 선수 커뮤니티, 공통 콘텐츠 활동</w:t>
            </w:r>
          </w:p>
        </w:tc>
        <w:tc>
          <w:tcPr>
            <w:tcW w:type="dxa" w:w="28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공식 팀·학교·직장 관계를 대체하지 않음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Infinite Opportunity</w:t>
            </w:r>
          </w:p>
        </w:tc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계약 당사자, 장기 매니지먼트 또는 단기 에이전시 업무</w:t>
            </w:r>
          </w:p>
        </w:tc>
        <w:tc>
          <w:tcPr>
            <w:tcW w:type="dxa" w:w="28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계약서에 없는 권리나 수수료는 취득하지 않음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공통으로 제공되는 AAC 활동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AAC 공식 프로필과 선수 소개 기회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커뮤니티·공동 콘텐츠·행사 참여 기회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개인채널 콘텐츠 참여보상 제도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일반 정보, 피드백, 네트워크와 파트너 접점</w:t>
      </w:r>
    </w:p>
    <w:p>
      <w:r>
        <w:rPr>
          <w:rFonts w:ascii="Calibri" w:hAnsi="Calibri" w:eastAsia="Malgun Gothic"/>
          <w:b w:val="0"/>
        </w:rPr>
        <w:t>참여는 선수의 건강·훈련·경기·소속기관 의무를 우선하며 자발적으로 이루어진다. 참여하지 않았다는 이유로 계약상 불이익을 주지 않는다.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833"/>
        <w:gridCol w:w="2833"/>
        <w:gridCol w:w="2834"/>
      </w:tblGrid>
      <w:tr>
        <w:trPr>
          <w:tblHeader w:val="true"/>
          <w:tblHeader/>
          <w:cantSplit/>
        </w:trPr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장기형·단기형 비교 항목</w:t>
            </w:r>
          </w:p>
        </w:tc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장기형: 성장형 종합 매니지먼트</w:t>
            </w:r>
          </w:p>
        </w:tc>
        <w:tc>
          <w:tcPr>
            <w:tcW w:type="dxa" w:w="28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단기형: 거래 중심 에이전시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기본 목적</w:t>
            </w:r>
          </w:p>
        </w:tc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장기 커리어·브랜드 자산과 파트너십을 함께 성장</w:t>
            </w:r>
          </w:p>
        </w:tc>
        <w:tc>
          <w:tcPr>
            <w:tcW w:type="dxa" w:w="28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회사가 유치한 상업거래의 안전한 진행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 업무</w:t>
            </w:r>
          </w:p>
        </w:tc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성장계획, 프로필·콘텐츠, 홍보, 파트너 발굴, 지속 관리</w:t>
            </w:r>
          </w:p>
        </w:tc>
        <w:tc>
          <w:tcPr>
            <w:tcW w:type="dxa" w:w="28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제안 검토, 교섭, 일정 조정, 계약·정산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상업수익</w:t>
            </w:r>
          </w:p>
        </w:tc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계약서의 장기형 배분 및 재투자 구조</w:t>
            </w:r>
          </w:p>
        </w:tc>
        <w:tc>
          <w:tcPr>
            <w:tcW w:type="dxa" w:w="28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 유치 거래만 선수 70%·회사 30%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재투자</w:t>
            </w:r>
          </w:p>
        </w:tc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회사에 확정 귀속된 몫 중 약정 비율을 사전 승인 후 집행</w:t>
            </w:r>
          </w:p>
        </w:tc>
        <w:tc>
          <w:tcPr>
            <w:tcW w:type="dxa" w:w="28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의무 재투자·미회수 재투자금 없음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채널·콘텐츠</w:t>
            </w:r>
          </w:p>
        </w:tc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별지와 제작합의에 따른 장기 운영 가능</w:t>
            </w:r>
          </w:p>
        </w:tc>
        <w:tc>
          <w:tcPr>
            <w:tcW w:type="dxa" w:w="28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소유·운영권 자동 이전 없음, 필요 시 별도 합의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종료 후</w:t>
            </w:r>
          </w:p>
        </w:tc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약정된 기존 콘텐츠 정산·권리 규정 적용</w:t>
            </w:r>
          </w:p>
        </w:tc>
        <w:tc>
          <w:tcPr>
            <w:tcW w:type="dxa" w:w="28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새 수수료·새 권리 없음, 체결된 동일 거래만 정산</w:t>
            </w:r>
          </w:p>
        </w:tc>
      </w:tr>
    </w:tbl>
    <w:p>
      <w:pPr>
        <w:spacing w:after="40"/>
      </w:pPr>
    </w:p>
    <w:p>
      <w:r>
        <w:rPr>
          <w:rFonts w:ascii="Calibri" w:hAnsi="Calibri" w:eastAsia="Malgun Gothic"/>
          <w:b w:val="0"/>
        </w:rPr>
        <w:t>계약 체결 전에는 선택한 유형의 계약서, 수익분류표, 핵심설명서, Q&amp;A와 중요조항 확인서를 같은 유형끼리 확인한다.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701" w:bottom="850" w:left="1701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F6B7A"/>
        <w:sz w:val="18"/>
      </w:rPr>
      <w:t xml:space="preserve">Page </w:t>
    </w:r>
    <w:fldSimple w:instr="PAGE">
      <w:r>
        <w:rPr>
          <w:rFonts w:ascii="Calibri" w:hAnsi="Calibri"/>
          <w:sz w:val="18"/>
          <w:color w:val="5F6B7A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60"/>
    </w:pPr>
    <w:r>
      <w:rPr>
        <w:rFonts w:ascii="Calibri" w:hAnsi="Calibri" w:eastAsia="Malgun Gothic"/>
        <w:b/>
        <w:color w:val="5F6B7A"/>
        <w:sz w:val="17"/>
      </w:rPr>
      <w:t>육상선수 계약 패키지</w:t>
    </w:r>
    <w:r>
      <w:rPr>
        <w:rFonts w:ascii="Calibri" w:hAnsi="Calibri" w:eastAsia="Malgun Gothic"/>
        <w:color w:val="5F6B7A"/>
        <w:sz w:val="17"/>
      </w:rPr>
      <w:tab/>
      <w:t>Infinite Opportunity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bullet"/>
      <w:lvlText w:val="◦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24" w:lineRule="auto"/>
    </w:pPr>
    <w:rPr>
      <w:rFonts w:ascii="맑은 고딕" w:hAnsi="맑은 고딕" w:eastAsia="맑은 고딕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300" w:lineRule="auto"/>
      <w:ind w:left="269" w:firstLine="0"/>
    </w:pPr>
  </w:style>
  <w:style w:type="paragraph" w:customStyle="1" w:styleId="TableBody">
    <w:name w:val="Table Body"/>
    <w:basedOn w:val="Normal"/>
    <w:pPr>
      <w:spacing w:before="0" w:after="0" w:line="276" w:lineRule="auto"/>
    </w:pPr>
    <w:rPr>
      <w:sz w:val="18"/>
    </w:rPr>
  </w:style>
  <w:style w:type="paragraph" w:customStyle="1" w:styleId="TableHeader">
    <w:name w:val="Table Header"/>
    <w:basedOn w:val="TableBody"/>
    <w:rPr>
      <w:b/>
      <w:color w:val="0B2545"/>
    </w:rPr>
  </w:style>
  <w:style w:type="paragraph" w:customStyle="1" w:styleId="LegalNote">
    <w:name w:val="Legal Note"/>
    <w:basedOn w:val="Normal"/>
    <w:pPr>
      <w:spacing w:before="120" w:after="160" w:line="288" w:lineRule="auto"/>
      <w:ind w:left="259" w:right="259"/>
    </w:pPr>
    <w:rPr>
      <w:color w:val="5F6B7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AAC 관계 및 계약유형 안내</dc:title>
  <dc:subject>공식 소속기관 · AAC · Infinite Opportunity</dc:subject>
  <dc:creator>Infinite Opportunity</dc:creator>
  <cp:keywords>육상선수, 전속계약, 매니지먼트, 스폰서십, 콘텐츠</cp:keywords>
  <dc:description>계약 체결 전 빈칸과 별지를 완성하고 전문가 검토를 권장함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