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2926080" cy="453656"/>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2926080" cy="453656"/>
                    </a:xfrm>
                    <a:prstGeom prst="rect"/>
                  </pic:spPr>
                </pic:pic>
              </a:graphicData>
            </a:graphic>
          </wp:inline>
        </w:drawing>
      </w:r>
    </w:p>
    <w:p>
      <w:pPr>
        <w:spacing w:before="560" w:after="200"/>
        <w:jc w:val="center"/>
      </w:pPr>
      <w:r>
        <w:rPr>
          <w:rFonts w:ascii="Calibri" w:hAnsi="Calibri" w:eastAsia="Malgun Gothic"/>
          <w:b/>
          <w:color w:val="0B2545"/>
          <w:sz w:val="48"/>
        </w:rPr>
        <w:t>AAC 개인채널 콘텐츠 참여보상 운영기준</w:t>
      </w:r>
    </w:p>
    <w:p>
      <w:pPr>
        <w:spacing w:after="440"/>
        <w:jc w:val="center"/>
      </w:pPr>
      <w:r>
        <w:rPr>
          <w:rFonts w:ascii="Calibri" w:hAnsi="Calibri" w:eastAsia="Malgun Gothic"/>
          <w:color w:val="1F4D78"/>
          <w:sz w:val="24"/>
        </w:rPr>
        <w:t>AAC 계약 패키지</w:t>
      </w:r>
    </w:p>
    <w:p>
      <w:pPr>
        <w:pBdr>
          <w:bottom w:val="single" w:sz="10" w:space="6" w:color="1F4D78"/>
        </w:pBdr>
      </w:pP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14"/>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14"/>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14"/>
        </w:numPr>
      </w:pPr>
      <w:r>
        <w:rPr>
          <w:rFonts w:ascii="Calibri" w:hAnsi="Calibri" w:eastAsia="Malgun Gothic"/>
          <w:b w:val="0"/>
        </w:rPr>
        <w:t>안전·법령·저작권·소속기관·후원사 규정을 위반한 콘텐츠는 예외승인 대상도 아니며 보상하지 않는다.</w:t>
      </w:r>
    </w:p>
    <w:p>
      <w:pPr>
        <w:numPr>
          <w:ilvl w:val="0"/>
          <w:numId w:val="14"/>
        </w:numPr>
      </w:pPr>
      <w:r>
        <w:rPr>
          <w:rFonts w:ascii="Calibri" w:hAnsi="Calibri" w:eastAsia="Malgun Gothic"/>
          <w:b w:val="0"/>
        </w:rPr>
        <w:t>스토리는 @athleticsathleteclub 계정을 화면에서 확인할 수 있게 태그하고 캡처를 제출한다.</w:t>
      </w:r>
    </w:p>
    <w:p>
      <w:pPr>
        <w:numPr>
          <w:ilvl w:val="0"/>
          <w:numId w:val="14"/>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10"/>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10"/>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10"/>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15"/>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15"/>
        </w:numPr>
      </w:pPr>
      <w:r>
        <w:rPr>
          <w:rFonts w:ascii="Calibri" w:hAnsi="Calibri" w:eastAsia="Malgun Gothic"/>
          <w:b w:val="0"/>
        </w:rPr>
        <w:t>회사가 ‘접수완료’라고 회신한 때 접수된 것으로 본다.</w:t>
      </w:r>
    </w:p>
    <w:p>
      <w:pPr>
        <w:numPr>
          <w:ilvl w:val="0"/>
          <w:numId w:val="15"/>
        </w:numPr>
      </w:pPr>
      <w:r>
        <w:rPr>
          <w:rFonts w:ascii="Calibri" w:hAnsi="Calibri" w:eastAsia="Malgun Gothic"/>
          <w:b w:val="0"/>
        </w:rPr>
        <w:t>회사는 다음 달 10일까지 검토하고 보완이 필요한 경우 1회 보완 기회를 제공한다.</w:t>
      </w:r>
    </w:p>
    <w:p>
      <w:pPr>
        <w:numPr>
          <w:ilvl w:val="0"/>
          <w:numId w:val="15"/>
        </w:numPr>
      </w:pPr>
      <w:r>
        <w:rPr>
          <w:rFonts w:ascii="Calibri" w:hAnsi="Calibri" w:eastAsia="Malgun Gothic"/>
          <w:b w:val="0"/>
        </w:rPr>
        <w:t>승인금은 다음 달 15일까지 지급한다. 지급일이 휴일이면 다음 영업일에 지급할 수 있다.</w:t>
      </w:r>
    </w:p>
    <w:p>
      <w:pPr>
        <w:numPr>
          <w:ilvl w:val="0"/>
          <w:numId w:val="15"/>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sectPr w:rsidR="00FC693F" w:rsidRPr="0006063C" w:rsidSect="00034616">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num w:numId="12">
    <w:abstractNumId w:val="10"/>
  </w:num>
  <w:num w:numId="13">
    <w:abstractNumId w:val="10"/>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개인채널 콘텐츠 참여보상 운영기준</dc:title>
  <dc:subject>AAC 계약 패키지</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