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 w:val="0"/>
          <w:sz w:val="48"/>
        </w:rPr>
        <w:t>개인정보·민감정보 수집·이용 동의서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rPr>
          <w:b w:val="0"/>
        </w:rPr>
        <w:t>1. 처리자와 목적</w:t>
      </w:r>
    </w:p>
    <w:p>
      <w:r>
        <w:rPr>
          <w:rFonts w:ascii="Calibri" w:hAnsi="Calibri" w:eastAsia="Malgun Gothic"/>
          <w:b w:val="0"/>
        </w:rPr>
        <w:t>Infinite Opportunity(대표자 장호준, 이하 ‘회사’)는 AAC 장기 전속 매니지먼트 계약 또는 단기 에이전시 계약(이하 ‘본 계약’)의 체결·이행을 위하여 아래와 같이 선수의 개인정보를 수집·이용한다.</w:t>
      </w:r>
    </w:p>
    <w:p>
      <w:pPr>
        <w:pStyle w:val="Heading2"/>
        <w:keepNext/>
      </w:pPr>
      <w:r>
        <w:rPr>
          <w:b w:val="0"/>
        </w:rPr>
        <w:t>2. 수집·이용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t>구분</w:t>
            </w:r>
          </w:p>
        </w:tc>
        <w:tc>
          <w:tcPr>
            <w:tcW w:type="dxa" w:w="1701"/>
          </w:tcPr>
          <w:p>
            <w:r>
              <w:t>항목</w:t>
            </w:r>
          </w:p>
        </w:tc>
        <w:tc>
          <w:tcPr>
            <w:tcW w:type="dxa" w:w="1701"/>
          </w:tcPr>
          <w:p>
            <w:r>
              <w:t>목적</w:t>
            </w:r>
          </w:p>
        </w:tc>
        <w:tc>
          <w:tcPr>
            <w:tcW w:type="dxa" w:w="1701"/>
          </w:tcPr>
          <w:p>
            <w:r>
              <w:t>보관기간</w:t>
            </w:r>
          </w:p>
        </w:tc>
        <w:tc>
          <w:tcPr>
            <w:tcW w:type="dxa" w:w="1701"/>
          </w:tcPr>
          <w:p>
            <w:r>
              <w:t>동의</w:t>
            </w:r>
          </w:p>
        </w:tc>
      </w:tr>
      <w:tr>
        <w:tc>
          <w:tcPr>
            <w:tcW w:type="dxa" w:w="1701"/>
          </w:tcPr>
          <w:p>
            <w:r>
              <w:t>필수</w:t>
            </w:r>
          </w:p>
        </w:tc>
        <w:tc>
          <w:tcPr>
            <w:tcW w:type="dxa" w:w="1701"/>
          </w:tcPr>
          <w:p>
            <w:r>
              <w:t>성명, 생년월일, 연락처, 주소, 이메일, 계좌, 공식 소속기관</w:t>
            </w:r>
          </w:p>
        </w:tc>
        <w:tc>
          <w:tcPr>
            <w:tcW w:type="dxa" w:w="1701"/>
          </w:tcPr>
          <w:p>
            <w:r>
              <w:t>본 계약 체결·이행, 정산, 세무신고, 통지</w:t>
            </w:r>
          </w:p>
        </w:tc>
        <w:tc>
          <w:tcPr>
            <w:tcW w:type="dxa" w:w="1701"/>
          </w:tcPr>
          <w:p>
            <w:r>
              <w:t>계약 종료 후 5년(세법 등 법령상 보관기간)</w:t>
            </w:r>
          </w:p>
        </w:tc>
        <w:tc>
          <w:tcPr>
            <w:tcW w:type="dxa" w:w="1701"/>
          </w:tcPr>
          <w:p>
            <w:r>
              <w:t>□ 동의 □ 미동의</w:t>
            </w:r>
          </w:p>
        </w:tc>
      </w:tr>
      <w:tr>
        <w:tc>
          <w:tcPr>
            <w:tcW w:type="dxa" w:w="1701"/>
          </w:tcPr>
          <w:p>
            <w:r>
              <w:t>선택 (민감정보)</w:t>
            </w:r>
          </w:p>
        </w:tc>
        <w:tc>
          <w:tcPr>
            <w:tcW w:type="dxa" w:w="1701"/>
          </w:tcPr>
          <w:p>
            <w:r>
              <w:t>건강·부상·질병·재활·상담 정보, 도핑 검사·제재 관련 정보</w:t>
            </w:r>
          </w:p>
        </w:tc>
        <w:tc>
          <w:tcPr>
            <w:tcW w:type="dxa" w:w="1701"/>
          </w:tcPr>
          <w:p>
            <w:r>
              <w:t>훈련·일정 조정, 부상 시 계약 처리, 도핑방지 안내</w:t>
            </w:r>
          </w:p>
        </w:tc>
        <w:tc>
          <w:tcPr>
            <w:tcW w:type="dxa" w:w="1701"/>
          </w:tcPr>
          <w:p>
            <w:r>
              <w:t>계약 종료 시 즉시 파기</w:t>
            </w:r>
          </w:p>
        </w:tc>
        <w:tc>
          <w:tcPr>
            <w:tcW w:type="dxa" w:w="1701"/>
          </w:tcPr>
          <w:p>
            <w:r>
              <w:t>□ 동의 □ 미동의</w:t>
            </w:r>
          </w:p>
        </w:tc>
      </w:tr>
      <w:tr>
        <w:tc>
          <w:tcPr>
            <w:tcW w:type="dxa" w:w="1701"/>
          </w:tcPr>
          <w:p>
            <w:r>
              <w:t>선택</w:t>
            </w:r>
          </w:p>
        </w:tc>
        <w:tc>
          <w:tcPr>
            <w:tcW w:type="dxa" w:w="1701"/>
          </w:tcPr>
          <w:p>
            <w:r>
              <w:t>사진·영상·음성 등 초상 정보</w:t>
            </w:r>
          </w:p>
        </w:tc>
        <w:tc>
          <w:tcPr>
            <w:tcW w:type="dxa" w:w="1701"/>
          </w:tcPr>
          <w:p>
            <w:r>
              <w:t>대외 프로필·홍보(10번 동의서에서 정한 범위)</w:t>
            </w:r>
          </w:p>
        </w:tc>
        <w:tc>
          <w:tcPr>
            <w:tcW w:type="dxa" w:w="1701"/>
          </w:tcPr>
          <w:p>
            <w:r>
              <w:t>계약기간 중</w:t>
            </w:r>
          </w:p>
        </w:tc>
        <w:tc>
          <w:tcPr>
            <w:tcW w:type="dxa" w:w="1701"/>
          </w:tcPr>
          <w:p>
            <w:r>
              <w:t>□ 동의 □ 미동의</w:t>
            </w:r>
          </w:p>
        </w:tc>
      </w:tr>
    </w:tbl>
    <w:p>
      <w:pPr>
        <w:pStyle w:val="Heading2"/>
        <w:keepNext/>
      </w:pPr>
      <w:r>
        <w:rPr>
          <w:b w:val="0"/>
        </w:rPr>
        <w:t>3. 제3자 제공</w:t>
      </w:r>
    </w:p>
    <w:p>
      <w:r>
        <w:rPr>
          <w:rFonts w:ascii="Calibri" w:hAnsi="Calibri" w:eastAsia="Malgun Gothic"/>
          <w:b w:val="0"/>
        </w:rPr>
        <w:t xml:space="preserve">회사는 광고주 등 거래 상대방에게 해당 거래의 이행에 필요한 범위(성명, 일정, 정산 정보)에서만 개인정보를 제공하며, 제공 전에 거래별로 선수에게 알린다. </w:t>
      </w:r>
      <w:r>
        <w:rPr>
          <w:rFonts w:ascii="Calibri" w:hAnsi="Calibri" w:eastAsia="Malgun Gothic"/>
          <w:b/>
          <w:color w:val="0D5F5A"/>
        </w:rPr>
        <w:t>민감정보는 법령상 의무가 있는 경우를 제외하고 제3자에게 제공하지 않는다.</w:t>
      </w:r>
    </w:p>
    <w:p>
      <w:pPr>
        <w:pStyle w:val="Heading2"/>
        <w:keepNext/>
      </w:pPr>
      <w:r>
        <w:rPr>
          <w:b w:val="0"/>
        </w:rPr>
        <w:t>4. 동의 거부 권리와 철회</w:t>
      </w:r>
    </w:p>
    <w:p>
      <w:r>
        <w:rPr>
          <w:rFonts w:ascii="Calibri" w:hAnsi="Calibri" w:eastAsia="Malgun Gothic"/>
          <w:b w:val="0"/>
        </w:rPr>
        <w:t xml:space="preserve">필수 항목에 동의하지 않으면 본 계약을 체결할 수 없다. </w:t>
      </w:r>
      <w:r>
        <w:rPr>
          <w:rFonts w:ascii="Calibri" w:hAnsi="Calibri" w:eastAsia="Malgun Gothic"/>
          <w:b/>
          <w:color w:val="0D5F5A"/>
        </w:rPr>
        <w:t>선택 항목에 동의하지 않아도 본 계약의 체결과 수익배분에 불이익이 없다.</w:t>
      </w:r>
    </w:p>
    <w:p>
      <w:r>
        <w:rPr>
          <w:rFonts w:ascii="Calibri" w:hAnsi="Calibri" w:eastAsia="Malgun Gothic"/>
          <w:b/>
          <w:color w:val="0D5F5A"/>
        </w:rPr>
        <w:t>선수는 언제든지 서면(이메일 포함)으로 선택 항목 동의를 철회할 수 있다.</w:t>
      </w:r>
      <w:r>
        <w:rPr>
          <w:rFonts w:ascii="Calibri" w:hAnsi="Calibri" w:eastAsia="Malgun Gothic"/>
          <w:b w:val="0"/>
        </w:rPr>
        <w:t xml:space="preserve"> 회사는 철회를 받은 날부터 지체 없이 처리를 중단하고 해당 정보를 파기한다.</w:t>
      </w:r>
    </w:p>
    <w:p>
      <w:r>
        <w:rPr>
          <w:rFonts w:ascii="Calibri" w:hAnsi="Calibri" w:eastAsia="Malgun Gothic"/>
          <w:b w:val="0"/>
        </w:rPr>
        <w:t>선수가 만 14세 미만이면 법정대리인의 동의를 받는다. 미성년 선수의 민감정보 처리에는 법정대리인이 함께 서명한다.</w:t>
      </w:r>
    </w:p>
    <w:p>
      <w:pPr>
        <w:pStyle w:val="Heading2"/>
        <w:keepNext/>
      </w:pPr>
      <w:r>
        <w:rPr>
          <w:b w:val="0"/>
        </w:rPr>
        <w:t>5. 확인 및 서명</w:t>
      </w:r>
    </w:p>
    <w:p>
      <w:r>
        <w:rPr>
          <w:rFonts w:ascii="Calibri" w:hAnsi="Calibri" w:eastAsia="Malgun Gothic"/>
          <w:b w:val="0"/>
        </w:rPr>
        <w:t>동의일: ______년 ___월 ___일</w:t>
      </w:r>
    </w:p>
    <w:p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