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단기 에이전시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단기 거래형 에이전시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단기형 업무범위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육상선수의 단기 상업활동을 위한 전속 매니지먼트 계약서이다.</w:t>
      </w:r>
    </w:p>
    <w:p>
      <w:r>
        <w:rPr>
          <w:rFonts w:ascii="Calibri" w:hAnsi="Calibri" w:eastAsia="Malgun Gothic"/>
          <w:b w:val="0"/>
        </w:rPr>
        <w:t>Infinite Opportunity를 이하 ‘회사’라 하고, 선수 __________________를 이하 ‘선수’라 하여 다음과 같이 계약을 체결한다.</w:t>
      </w:r>
    </w:p>
    <w:p>
      <w:pPr>
        <w:pStyle w:val="Heading2"/>
        <w:keepNext/>
      </w:pPr>
      <w:r>
        <w:t>회사 정보</w:t>
      </w:r>
    </w:p>
    <w:p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선수의 경기 외 상업활동, 스폰서십, 광고, 콘텐츠, 방송, 강연 및 이에 부수하는 활동을 전속적으로 기획·관리하고, 선수의 경기력과 장기적인 상업적 가치를 높이기 위하여 투자·홍보·행정업무를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‘선수 활동’</w:t>
      </w:r>
      <w:r>
        <w:rPr>
          <w:rFonts w:ascii="Calibri" w:hAnsi="Calibri" w:eastAsia="Malgun Gothic"/>
          <w:b w:val="0"/>
        </w:rPr>
        <w:t>은 육상 경기, 훈련, 대회 참가, 광고, 스폰서십, 방송, 행사, 강연 및 콘텐츠 활동을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‘소속기관’</w:t>
      </w:r>
      <w:r>
        <w:rPr>
          <w:rFonts w:ascii="Calibri" w:hAnsi="Calibri" w:eastAsia="Malgun Gothic"/>
          <w:b w:val="0"/>
        </w:rPr>
        <w:t>은 선수와 고용·소속·재학·대표선발 또는 이에 준하는 관계에 있는 팀, 경기단체, 국가·지방자치단체, 학교 및 공공기관을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‘소속기관 수입’</w:t>
      </w:r>
      <w:r>
        <w:rPr>
          <w:rFonts w:ascii="Calibri" w:hAnsi="Calibri" w:eastAsia="Malgun Gothic"/>
          <w:b w:val="0"/>
        </w:rPr>
        <w:t>은 소속기관 관계로 받는 급여·연봉·계약금·성과금·수당·상금·포상금·장학금·연금·지원금 등을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‘회사 유치 상업거래’</w:t>
      </w:r>
      <w:r>
        <w:rPr>
          <w:rFonts w:ascii="Calibri" w:hAnsi="Calibri" w:eastAsia="Malgun Gothic"/>
          <w:b w:val="0"/>
        </w:rPr>
        <w:t>는 계약기간 중 회사가 직접 발굴하고 실질적으로 교섭 또는 관리하여 체결된 광고·후원·방송·행사·강연·출전료 거래를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‘총 계약금액’</w:t>
      </w:r>
      <w:r>
        <w:rPr>
          <w:rFonts w:ascii="Calibri" w:hAnsi="Calibri" w:eastAsia="Malgun Gothic"/>
          <w:b w:val="0"/>
        </w:rPr>
        <w:t>은 광고주 등 거래 상대방과 체결한 계약서에 따라 해당 상업거래의 대가로 지급하기로 한 전체 금액을 말한다. 명칭이 모델료·출연료·협찬금·에이전시 비용·제작협력비 등인지와 수령자가 선수 또는 회사인지를 묻지 않는다.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‘분배기준액’</w:t>
      </w:r>
      <w:r>
        <w:rPr>
          <w:rFonts w:ascii="Calibri" w:hAnsi="Calibri" w:eastAsia="Malgun Gothic"/>
          <w:b w:val="0"/>
        </w:rPr>
        <w:t>은 총 계약금액에서 별도로 표시된 부가가치세와 실제 발생한 환불·취소액만 제외한 금액을 말한다. 회사 운영비, 직접비용, 제작비, 소득세 및 원천징수세액을 70:30 분배 전에 공제하지 않는다.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‘별도 직접비용’</w:t>
      </w:r>
      <w:r>
        <w:rPr>
          <w:rFonts w:ascii="Calibri" w:hAnsi="Calibri" w:eastAsia="Malgun Gothic"/>
          <w:b w:val="0"/>
        </w:rPr>
        <w:t>은 해당 거래 이행에만 필요한 제3자 비용을 말한다. 당사자는 비용의 항목·금액·부담자를 지출 전에 별도 서면으로 합의하며, 이 비용은 분배기준액에서 먼저 공제하지 않는다.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‘콘텐츠’</w:t>
      </w:r>
      <w:r>
        <w:rPr>
          <w:rFonts w:ascii="Calibri" w:hAnsi="Calibri" w:eastAsia="Malgun Gothic"/>
          <w:b w:val="0"/>
        </w:rPr>
        <w:t>는 선수와 관련하여 제작된 영상·사진·음원·그래픽·문서·방송물·SNS 게시물 등을 말한다.</w:t>
      </w:r>
    </w:p>
    <w:p>
      <w:pPr>
        <w:numPr>
          <w:ilvl w:val="0"/>
          <w:numId w:val="12"/>
        </w:numPr>
      </w:pPr>
      <w:r>
        <w:rPr>
          <w:rFonts w:ascii="Calibri" w:hAnsi="Calibri" w:eastAsia="Malgun Gothic"/>
          <w:b/>
        </w:rPr>
        <w:t>‘서면’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</w:p>
    <w:p>
      <w:pPr>
        <w:pStyle w:val="Heading2"/>
        <w:keepNext/>
        <w:pBdr>
          <w:bottom w:val="single" w:sz="4" w:space="3" w:color="E8EEF5"/>
        </w:pBdr>
      </w:pPr>
      <w:r>
        <w:t>제3조 단기 에이전시 업무범위</w:t>
      </w:r>
    </w:p>
    <w:p>
      <w:r>
        <w:rPr>
          <w:rFonts w:ascii="Calibri" w:hAnsi="Calibri" w:eastAsia="Malgun Gothic"/>
          <w:b w:val="0"/>
        </w:rPr>
        <w:t>① 선수는 회사에게 계약기간 중 회사가 직접 발굴한 상업거래의 제안 검토, 교섭, 일정 조정과 정산 업무를 위탁한다.</w:t>
      </w:r>
    </w:p>
    <w:p>
      <w:r>
        <w:rPr>
          <w:rFonts w:ascii="Calibri" w:hAnsi="Calibri" w:eastAsia="Malgun Gothic"/>
          <w:b w:val="0"/>
        </w:rPr>
        <w:t>② 회사의 전속적 업무범위는 회사 유치 상업거래에 한정된다. 소속기관 수입, 경기상금·포상금·장학금·연금·지원금, 기존 거래, 선수 자체 유치 거래와 회사가 실질적으로 관여하지 않은 거래는 전속 및 승인 대상이 아니다.</w:t>
      </w:r>
    </w:p>
    <w:p>
      <w:r>
        <w:rPr>
          <w:rFonts w:ascii="Calibri" w:hAnsi="Calibri" w:eastAsia="Malgun Gothic"/>
          <w:b w:val="0"/>
        </w:rPr>
        <w:t>③ 선수는 제2항의 제외 거래를 직접 추진하거나 제3자의 도움을 받을 수 있으며, 회사의 승인을 받거나 제안 내용을 보고할 의무가 없다.</w:t>
      </w:r>
    </w:p>
    <w:p>
      <w:r>
        <w:rPr>
          <w:rFonts w:ascii="Calibri" w:hAnsi="Calibri" w:eastAsia="Malgun Gothic"/>
          <w:b w:val="0"/>
        </w:rPr>
        <w:t>④ 회사는 선수의 사전 서면 동의 없이 본 계약상 지위나 핵심 교섭권한을 제3자에게 양도하거나 재위탁할 수 없다. 다만 법령·세무·제작 등 보조업무는 업무범위와 비용을 알린 후 전문가에게 맡길 수 있다.</w:t>
      </w:r>
    </w:p>
    <w:p>
      <w:r>
        <w:rPr>
          <w:rFonts w:ascii="Calibri" w:hAnsi="Calibri" w:eastAsia="Malgun Gothic"/>
          <w:b w:val="0"/>
        </w:rPr>
        <w:t>⑤ 본 조는 회사에게 선수의 이름·초상·음성, 콘텐츠, 채널, 계정, 상표 또는 소유권을 이전하지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전속 매니지먼트 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13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회사 유치 상업거래으로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별도의 위임계약 또는 서비스 신청서로 정한다. 이메일·문자·메신저로 업무 범위와 비용에 합의한 경우에도 유효한 서면합의로 본다.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14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15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계약 체결일부터 1년으로 한다.</w:t>
      </w:r>
    </w:p>
    <w:p>
      <w:r>
        <w:rPr>
          <w:rFonts w:ascii="Calibri" w:hAnsi="Calibri" w:eastAsia="Malgun Gothic"/>
          <w:b w:val="0"/>
        </w:rPr>
        <w:t>② 갱신은 계약 만료 전에 기간·업무·수수료를 다시 정한 상호 서면합의로만 한다. 묵시적·자동 갱신은 없다.</w:t>
      </w:r>
    </w:p>
    <w:p>
      <w:r>
        <w:rPr>
          <w:rFonts w:ascii="Calibri" w:hAnsi="Calibri" w:eastAsia="Malgun Gothic"/>
          <w:b w:val="0"/>
        </w:rPr>
        <w:t>③ 1회 갱신기간은 1년을 넘지 않는다.</w:t>
      </w:r>
    </w:p>
    <w:p>
      <w:r>
        <w:rPr>
          <w:rFonts w:ascii="Calibri" w:hAnsi="Calibri" w:eastAsia="Malgun Gothic"/>
          <w:b w:val="0"/>
        </w:rPr>
        <w:t>④ 기간 만료 시 갱신하지 않는다는 이유만으로 위약금·위약벌 또는 불이익을 부과하지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매니지먼트하는 선수의 활동은 다음과 같다.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콘텐츠 기획·촬영·제작·배포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SNS 및 온라인 채널 활동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프로필·다큐멘터리·브랜드 영상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16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서비스</w:t>
      </w:r>
    </w:p>
    <w:p>
      <w:r>
        <w:rPr>
          <w:rFonts w:ascii="Calibri" w:hAnsi="Calibri" w:eastAsia="Malgun Gothic"/>
          <w:b w:val="0"/>
        </w:rPr>
        <w:t>① 회사는 계약기간 동안 스폰서십·광고 제안 검토, 계약 교섭, 일정 조정, 정산 및 기본 홍보 업무를 수행한다.</w:t>
      </w:r>
    </w:p>
    <w:p>
      <w:r>
        <w:rPr>
          <w:rFonts w:ascii="Calibri" w:hAnsi="Calibri" w:eastAsia="Malgun Gothic"/>
          <w:b w:val="0"/>
        </w:rPr>
        <w:t>② 촬영·제작·광고집행·채널운영·브랜드개발 등 별도 비용이 드는 업무는 예산, 권리귀속, 수익배분과 일정을 정한 개별 서면합의가 있을 때 수행한다.</w:t>
      </w:r>
    </w:p>
    <w:p>
      <w:r>
        <w:rPr>
          <w:rFonts w:ascii="Calibri" w:hAnsi="Calibri" w:eastAsia="Malgun Gothic"/>
          <w:b w:val="0"/>
        </w:rPr>
        <w:t>③ 회사는 선수의 의사·건강·훈련·소속기관 의무를 존중하고, 법령이나 스포츠 규정에 위반되는 활동을 지시해서는 안 된다.</w:t>
      </w:r>
    </w:p>
    <w:p>
      <w:r>
        <w:rPr>
          <w:rFonts w:ascii="Calibri" w:hAnsi="Calibri" w:eastAsia="Malgun Gothic"/>
          <w:b w:val="0"/>
        </w:rPr>
        <w:t>④ World Athletics 규정상 공인 선수대리인이 필요한 거래는 유효한 자격을 가진 사람이 수행한다. 회사는 담당 대리인의 성명과 등록번호를 선수에게 서면으로 알린다.</w:t>
      </w:r>
    </w:p>
    <w:p>
      <w:r>
        <w:rPr>
          <w:rFonts w:ascii="Calibri" w:hAnsi="Calibri" w:eastAsia="Malgun Gothic"/>
          <w:b w:val="0"/>
        </w:rPr>
        <w:t>⑤ 회사는 계약 체결 또는 변경 전에 선수에게 독립적인 법률 조언을 받을 수 있음을 서면으로 알리고, 선수가 조언을 받았거나 받지 않기로 결정했다는 확인을 받는다.</w:t>
      </w:r>
    </w:p>
    <w:p>
      <w:r>
        <w:rPr>
          <w:rFonts w:ascii="Calibri" w:hAnsi="Calibri" w:eastAsia="Malgun Gothic"/>
          <w:b w:val="0"/>
        </w:rPr>
        <w:t>⑤ 선수는 AAC 공통 개인채널 콘텐츠 참여보상 제도에 자발적으로 참여할 수 있다. 해당 보상은 회사의 30% 진행 수수료와 별개이며 선수 수익에서 공제하지 않고, 재투자금·채널 소유권·콘텐츠 소유권을 발생시키지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① 선수는 회사가 회사 유치 상업거래를 수행할 수 있도록 다음 사항에 합리적으로 협력한다.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제안·계약·일정 확인에 필요한 정보의 신속한 제공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제3자의 서면 제안과 주요 계약조건의 확인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건강·훈련·대회·소속기관 일정 등 거래 이행에 영향을 주는 사항의 알림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도핑방지규정, 법령과 소속기관 규정의 준수</w:t>
      </w:r>
    </w:p>
    <w:p>
      <w:pPr>
        <w:numPr>
          <w:ilvl w:val="0"/>
          <w:numId w:val="17"/>
        </w:numPr>
      </w:pPr>
      <w:r>
        <w:rPr>
          <w:rFonts w:ascii="Calibri" w:hAnsi="Calibri" w:eastAsia="Malgun Gothic"/>
          <w:b w:val="0"/>
        </w:rPr>
        <w:t>회사 유치 상업거래의 정산에 필요한 수령자료·세무자료·지급증빙의 제공</w:t>
      </w:r>
    </w:p>
    <w:p>
      <w:r>
        <w:rPr>
          <w:rFonts w:ascii="Calibri" w:hAnsi="Calibri" w:eastAsia="Malgun Gothic"/>
          <w:b w:val="0"/>
        </w:rPr>
        <w:t>② 제1항의 의무는 회사 유치 상업거래의 제안·체결·이행·정산에 필요한 범위에 한정된다.</w:t>
      </w:r>
    </w:p>
    <w:p>
      <w:r>
        <w:rPr>
          <w:rFonts w:ascii="Calibri" w:hAnsi="Calibri" w:eastAsia="Malgun Gothic"/>
          <w:b w:val="0"/>
        </w:rPr>
        <w:t>③ 선수는 불법하거나 부당한 회사의 지시를 거절할 수 있다.</w:t>
      </w:r>
    </w:p>
    <w:p>
      <w:r>
        <w:rPr>
          <w:rFonts w:ascii="Calibri" w:hAnsi="Calibri" w:eastAsia="Malgun Gothic"/>
          <w:b w:val="0"/>
        </w:rPr>
        <w:t>④ 선수는 계약 체결·정산·세금·도핑 대응을 위해 자신의 자료를 보존할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건강보호·도핑방지</w:t>
      </w:r>
    </w:p>
    <w:p>
      <w:r>
        <w:rPr>
          <w:rFonts w:ascii="Calibri" w:hAnsi="Calibri" w:eastAsia="Malgun Gothic"/>
          <w:b w:val="0"/>
        </w:rPr>
        <w:t>① 회사와 선수는 선수의 건강과 안전을 성과나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도핑방지규정 위반을 지시·권유해서는 안 된다.</w:t>
      </w:r>
    </w:p>
    <w:p>
      <w:r>
        <w:rPr>
          <w:rFonts w:ascii="Calibri" w:hAnsi="Calibri" w:eastAsia="Malgun Gothic"/>
          <w:b w:val="0"/>
        </w:rPr>
        <w:t>③ 선수는 도핑방지규정 준수와 사용 약물·보충제 확인에 관한 최종 책임을 부담한다. 회사는 합리적인 범위에서 규정 및 자문 창구를 안내한다.</w:t>
      </w:r>
    </w:p>
    <w:p>
      <w:r>
        <w:rPr>
          <w:rFonts w:ascii="Calibri" w:hAnsi="Calibri" w:eastAsia="Malgun Gothic"/>
          <w:b w:val="0"/>
        </w:rPr>
        <w:t>④ 출전정지·임시정지 또는 소속기관 징계로 정상적 활동이 곤란한 경우 회사는 결정 내용과 예상기간을 고려하여 업무의 전부 또는 일부를 중지할 수 있다.</w:t>
      </w:r>
    </w:p>
    <w:p>
      <w:r>
        <w:rPr>
          <w:rFonts w:ascii="Calibri" w:hAnsi="Calibri" w:eastAsia="Malgun Gothic"/>
          <w:b w:val="0"/>
        </w:rPr>
        <w:t>⑤ 도핑 위반이 확정된 경우 회사는 위반의 내용·중대성, 고의·과실, 자격정지 기간, 선수의 대응과 회사에 미친 영향을 고려하여 서비스 중지, 계약변경 또는 해지를 요청할 수 있다.</w:t>
      </w:r>
    </w:p>
    <w:p>
      <w:r>
        <w:rPr>
          <w:rFonts w:ascii="Calibri" w:hAnsi="Calibri" w:eastAsia="Malgun Gothic"/>
          <w:b w:val="0"/>
        </w:rPr>
        <w:t>⑥ 선수의 고의 또는 중대한 과실로 도핑 위반이 발생하여 회사에 실제 손해가 발생한 경우, 회사는 그 손해를 입증하여 배상을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 이용</w:t>
      </w:r>
    </w:p>
    <w:p>
      <w:r>
        <w:rPr>
          <w:rFonts w:ascii="Calibri" w:hAnsi="Calibri" w:eastAsia="Malgun Gothic"/>
          <w:b w:val="0"/>
        </w:rPr>
        <w:t>① 선수는 성명·초상·영상·음성·서명 등 자신의 인격표지에 관한 권리를 보유한다.</w:t>
      </w:r>
    </w:p>
    <w:p>
      <w:r>
        <w:rPr>
          <w:rFonts w:ascii="Calibri" w:hAnsi="Calibri" w:eastAsia="Malgun Gothic"/>
          <w:b w:val="0"/>
        </w:rPr>
        <w:t>② 회사는 회사 유치 상업거래의 제안·이행에 필요한 범위에서만, 이용매체·목적·기간·지역과 편집 여부를 적은 거래별 사전 서면 승인을 받아 인격표지를 이용할 수 있다.</w:t>
      </w:r>
    </w:p>
    <w:p>
      <w:r>
        <w:rPr>
          <w:rFonts w:ascii="Calibri" w:hAnsi="Calibri" w:eastAsia="Malgun Gothic"/>
          <w:b w:val="0"/>
        </w:rPr>
        <w:t>③ 본 계약만으로 회사에 포괄적·독점적·영구적 이용권이 생기지 않는다. 선수는 승인하지 않은 새로운 광고·후원·콘텐츠에 대한 이용을 거절할 수 있다.</w:t>
      </w:r>
    </w:p>
    <w:p>
      <w:r>
        <w:rPr>
          <w:rFonts w:ascii="Calibri" w:hAnsi="Calibri" w:eastAsia="Malgun Gothic"/>
          <w:b w:val="0"/>
        </w:rPr>
        <w:t>④ 각 거래의 이용기간이 끝나거나 계약이 종료되면 회사는 당사자가 서면으로 다르게 합의한 경우를 제외하고 새로운 이용을 즉시 중단한다.</w:t>
      </w:r>
    </w:p>
    <w:p>
      <w:r>
        <w:rPr>
          <w:rFonts w:ascii="Calibri" w:hAnsi="Calibri" w:eastAsia="Malgun Gothic"/>
          <w:b w:val="0"/>
        </w:rPr>
        <w:t>⑤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상업거래 수수료</w:t>
      </w:r>
    </w:p>
    <w:p>
      <w:r>
        <w:rPr>
          <w:rFonts w:ascii="Calibri" w:hAnsi="Calibri" w:eastAsia="Malgun Gothic"/>
          <w:b w:val="0"/>
        </w:rPr>
        <w:t>① 소속기관 수입, 경기상금·포상금·장학금·연금·지원금, 계약 전에 존재한 거래, 선수가 스스로 발굴·교섭한 거래 및 회사가 실질적으로 관여하지 않은 거래는 선수에게 100% 귀속되며 회사 수수료 대상이 아니다.</w:t>
      </w:r>
    </w:p>
    <w:p>
      <w:r>
        <w:rPr>
          <w:rFonts w:ascii="Calibri" w:hAnsi="Calibri" w:eastAsia="Malgun Gothic"/>
          <w:b w:val="0"/>
        </w:rPr>
        <w:t>② 회사 유치 상업거래의 분배기준액은 선수 70%, 회사 30%로 배분한다. 회사의 30%는 해당 거래의 발굴·교섭·관리 서비스에 대한 진행 수수료이다.</w:t>
      </w:r>
    </w:p>
    <w:p>
      <w:r>
        <w:rPr>
          <w:rFonts w:ascii="Calibri" w:hAnsi="Calibri" w:eastAsia="Malgun Gothic"/>
          <w:b w:val="0"/>
        </w:rPr>
        <w:t>③ 각 거래를 수수료 대상으로 삼으려면 거래명, 상대방, 회사 업무, 총 계약금액, 분배비율과 별도 직접비용의 부담자를 계약 체결 전 또는 지체 없이 서면으로 확인한다. 회사는 자신이 실제로 수행한 업무를 입증한다.</w:t>
      </w:r>
    </w:p>
    <w:p>
      <w:r>
        <w:rPr>
          <w:rFonts w:ascii="Calibri" w:hAnsi="Calibri" w:eastAsia="Malgun Gothic"/>
          <w:b w:val="0"/>
        </w:rPr>
        <w:t>④ 계약 종료 후 회사는 새로운 수수료나 권리를 취득하지 않는다. 다만 계약기간 중 회사가 실제로 수행하여 체결된 동일 거래의 대가가 종료 후 지급되는 경우에는 그 수령액에 한하여 제2항을 적용한다.</w:t>
      </w:r>
    </w:p>
    <w:p>
      <w:r>
        <w:rPr>
          <w:rFonts w:ascii="Calibri" w:hAnsi="Calibri" w:eastAsia="Malgun Gothic"/>
          <w:b w:val="0"/>
        </w:rPr>
        <w:t>⑤ 기존 거래의 단순 지급·유지·자동연장은 수수료 대상이 아니다. 회사가 새로운 금액·기간·권리조건을 실질적으로 교섭한 갱신은 선수의 사전 서면 확인이 있을 때에만 회사 유치 상업거래로 본다.</w:t>
      </w:r>
    </w:p>
    <w:p>
      <w:r>
        <w:rPr>
          <w:rFonts w:ascii="Calibri" w:hAnsi="Calibri" w:eastAsia="Malgun Gothic"/>
          <w:b w:val="0"/>
        </w:rPr>
        <w:t>⑥ 회사는 광고주 등 거래 상대방에게 30% 외의 별도 에이전시 비용을 추가로 청구하지 않는다. 명칭을 달리한 에이전시 비용이나 진행비를 수령한 경우 그 금액을 총 계약금액과 분배기준액에 포함하여 70:30으로 분배한다.</w:t>
      </w:r>
    </w:p>
    <w:p>
      <w:r>
        <w:rPr>
          <w:rFonts w:ascii="Calibri" w:hAnsi="Calibri" w:eastAsia="Malgun Gothic"/>
          <w:b w:val="0"/>
        </w:rPr>
        <w:t>⑦ 부가가치세는 분배기준액에 포함하지 않고 관계 법령에 따라 별도로 처리한다. 법정 원천징수는 각 소득 귀속자의 세금 납부로 처리하며 70:30 분배 전에 비용으로 공제하지 않는다.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소속기관 계약과 수입</w:t>
      </w:r>
    </w:p>
    <w:p>
      <w:r>
        <w:rPr>
          <w:rFonts w:ascii="Calibri" w:hAnsi="Calibri" w:eastAsia="Malgun Gothic"/>
          <w:b w:val="0"/>
        </w:rPr>
        <w:t>① 소속기관 수입과 경기 결과에 따른 상금은 회사의 관여 여부와 관계없이 선수에게 100% 귀속된다.</w:t>
      </w:r>
    </w:p>
    <w:p>
      <w:r>
        <w:rPr>
          <w:rFonts w:ascii="Calibri" w:hAnsi="Calibri" w:eastAsia="Malgun Gothic"/>
          <w:b w:val="0"/>
        </w:rPr>
        <w:t>② 소속기관 계약의 자문·협상을 회사에 맡기려면 업무범위와 서비스 비용을 정한 별도 위임서 및 서면합의를 작성한다. 제12조의 30% 진행 수수료는 소속기관 수입에 적용하지 않는다.</w:t>
      </w:r>
    </w:p>
    <w:p>
      <w:r>
        <w:rPr>
          <w:rFonts w:ascii="Calibri" w:hAnsi="Calibri" w:eastAsia="Malgun Gothic"/>
          <w:b w:val="0"/>
        </w:rPr>
        <w:t>③ 선수는 소속기관의 전속·광고·초상·SNS·겸직 규정을 회사에 알리고, 회사는 소속기관의 권한을 침해하거나 선수에게 위반을 지시해서는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제14조 개별 콘텐츠</w:t>
      </w:r>
    </w:p>
    <w:p>
      <w:r>
        <w:rPr>
          <w:rFonts w:ascii="Calibri" w:hAnsi="Calibri" w:eastAsia="Malgun Gothic"/>
          <w:b w:val="0"/>
        </w:rPr>
        <w:t>① 콘텐츠를 제작할 때에는 제작비, 저작권, 인격표지 이용범위, 공개기간과 수익배분을 개별 제작합의서에 정한다.</w:t>
      </w:r>
    </w:p>
    <w:p>
      <w:r>
        <w:rPr>
          <w:rFonts w:ascii="Calibri" w:hAnsi="Calibri" w:eastAsia="Malgun Gothic"/>
          <w:b w:val="0"/>
        </w:rPr>
        <w:t>② 별도 합의가 없으면 회사는 계약 수행을 위해 제작·공개한 콘텐츠를 계약기간 동안만 이용할 수 있다.</w:t>
      </w:r>
    </w:p>
    <w:p>
      <w:r>
        <w:rPr>
          <w:rFonts w:ascii="Calibri" w:hAnsi="Calibri" w:eastAsia="Malgun Gothic"/>
          <w:b w:val="0"/>
        </w:rPr>
        <w:t>③ 계약 종료 후 기존 콘텐츠의 보관·공개·수익화가 필요한 경우 이용기간과 정산방법을 별도 서면으로 합의한다.</w:t>
      </w:r>
    </w:p>
    <w:p>
      <w:r>
        <w:rPr>
          <w:rFonts w:ascii="Calibri" w:hAnsi="Calibri" w:eastAsia="Malgun Gothic"/>
          <w:b w:val="0"/>
        </w:rPr>
        <w:t>④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제15조 정산</w:t>
      </w:r>
    </w:p>
    <w:p>
      <w:r>
        <w:rPr>
          <w:rFonts w:ascii="Calibri" w:hAnsi="Calibri" w:eastAsia="Malgun Gothic"/>
          <w:b w:val="0"/>
        </w:rPr>
        <w:t>① 회사가 회사 유치 상업거래의 대금을 수령한 경우 수령일부터 30일 이내에 선수에게 정산금을 지급한다. 선수가 직접 수령한 경우 회사는 정산명세서와 세금계산서 등 적법한 증빙을 제공하고 30% 진행 수수료를 청구한다.</w:t>
      </w:r>
    </w:p>
    <w:p>
      <w:r>
        <w:rPr>
          <w:rFonts w:ascii="Calibri" w:hAnsi="Calibri" w:eastAsia="Malgun Gothic"/>
          <w:b w:val="0"/>
        </w:rPr>
        <w:t>② 정산명세서에는 거래 상대방, 총 계약금액, 부가가치세, 환불·취소액, 분배기준액, 선수 70%, 회사 30%, 원천징수세액 및 최종 지급액을 구분하여 표시한다. 별도 직접비용은 부담자와 증빙을 따로 표시하고 분배기준액에서 먼저 공제하지 않는다.</w:t>
      </w:r>
    </w:p>
    <w:p>
      <w:r>
        <w:rPr>
          <w:rFonts w:ascii="Calibri" w:hAnsi="Calibri" w:eastAsia="Malgun Gothic"/>
          <w:b w:val="0"/>
        </w:rPr>
        <w:t>③ 선수는 명세서 수령 후 30일 이내에 이의를 제기할 수 있고, 회사는 자료와 증빙을 법정 보관기간 또는 5년 중 긴 기간 동안 보관한다.</w:t>
      </w:r>
    </w:p>
    <w:p>
      <w:r>
        <w:rPr>
          <w:rFonts w:ascii="Calibri" w:hAnsi="Calibri" w:eastAsia="Malgun Gothic"/>
          <w:b w:val="0"/>
        </w:rPr>
        <w:t>④ 선수는 연 1회 자신의 비용으로 합리적인 범위에서 정산자료를 확인할 수 있다. 과소정산이 선수 지급액의 5%를 초과하면 회사가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제16조 계약 해지</w:t>
      </w:r>
    </w:p>
    <w:p>
      <w:r>
        <w:rPr>
          <w:rFonts w:ascii="Calibri" w:hAnsi="Calibri" w:eastAsia="Malgun Gothic"/>
          <w:b w:val="0"/>
        </w:rPr>
        <w:t>① 계약 위반이 있으면 상대방은 14일 이상의 기간을 정하여 서면으로 시정을 요구할 수 있고, 시정되지 않으면 계약을 해지하고 입증된 손해의 배상을 청구할 수 있다.</w:t>
      </w:r>
    </w:p>
    <w:p>
      <w:r>
        <w:rPr>
          <w:rFonts w:ascii="Calibri" w:hAnsi="Calibri" w:eastAsia="Malgun Gothic"/>
          <w:b w:val="0"/>
        </w:rPr>
        <w:t>② 성희롱·성폭력·폭행, 도핑 강요, 중대한 건강·안전 침해, 수익 횡령·유용 또는 정당한 사유 없는 3개월 이상의 정산 지연이 있으면 선수는 즉시 해지할 수 있다.</w:t>
      </w:r>
    </w:p>
    <w:p>
      <w:r>
        <w:rPr>
          <w:rFonts w:ascii="Calibri" w:hAnsi="Calibri" w:eastAsia="Malgun Gothic"/>
          <w:b w:val="0"/>
        </w:rPr>
        <w:t>③ 중대한 전속의무 위반, 수익의 고의적 은닉, 무단 제3자 매니지먼트 계약, 고의·중과실의 도핑 위반 또는 기존 계약의 중대한 은폐가 있으면 회사는 즉시 또는 상당한 시정기간 후 해지할 수 있다.</w:t>
      </w:r>
    </w:p>
    <w:p>
      <w:r>
        <w:rPr>
          <w:rFonts w:ascii="Calibri" w:hAnsi="Calibri" w:eastAsia="Malgun Gothic"/>
          <w:b w:val="0"/>
        </w:rPr>
        <w:t>④ 정당한 사유로 해지하는 당사자에게 위약금·위약벌을 부과하지 않는다. 정당한 사유 없이 계약을 종료하거나 귀책으로 계약 종료를 초래한 당사자는 상대방의 실제 발생하고 입증된 손해를 배상한다.</w:t>
      </w:r>
    </w:p>
    <w:p>
      <w:pPr>
        <w:pStyle w:val="Heading2"/>
        <w:keepNext/>
        <w:pBdr>
          <w:bottom w:val="single" w:sz="4" w:space="3" w:color="E8EEF5"/>
        </w:pBdr>
      </w:pPr>
      <w:r>
        <w:t>제17조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 활동이 어려우면 당사자는 활동중지, 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종료되는 경우 선수에게 위약금·위약벌을 부과하지 않는다.</w:t>
      </w:r>
    </w:p>
    <w:p>
      <w:r>
        <w:rPr>
          <w:rFonts w:ascii="Calibri" w:hAnsi="Calibri" w:eastAsia="Malgun Gothic"/>
          <w:b w:val="0"/>
        </w:rPr>
        <w:t>③ 사전에 승인되고 증빙된 미정산 직접비용은 당사자가 선수의 경제상황과 비용 발생 경위를 고려하여 정산방법을 합의한다. 회사의 일반 운영비는 청구하지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제18조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>② 선수의 건강·부상·질병·상담·도핑 관련 정보는 별도의 민감정보 동의를 받아 처리한다.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제19조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18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제20조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제23조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제24조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제25조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단기 에이전시 계약서</dc:title>
  <dc:subject>단기 거래형 에이전시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