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별지 1 - 단기형 수익분류표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655"/>
        <w:gridCol w:w="1105"/>
        <w:gridCol w:w="1360"/>
        <w:gridCol w:w="2380"/>
      </w:tblGrid>
      <w:tr>
        <w:trPr>
          <w:tblHeader w:val="true"/>
          <w:tblHeader/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수익 항목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선수 귀속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회사 진행 수수료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급여·연봉·계약금·성과금·수당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수수료 대상 아님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국가대표 수당·포상금·장학금·연금·지원금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수수료 대상 아님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대회 경기상금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수수료 대상 아님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직접 유치·교섭한 출전료·초청료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광고주 총 계약금액의 분배기준액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직접 유치·교섭한 개인 스폰서·광고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광고주 총 계약금액의 분배기준액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직접 유치·교섭한 방송·행사·강연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광고주 총 계약금액의 분배기준액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기존 개인 스폰서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 목록에 기재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조건을 실질적으로 개선한 기존 스폰서 갱신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사전 서면 확인·총 계약금액 기준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선수 자체 유치 거래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실질 관여하지 않은 거래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개별 콘텐츠 제작·채널 운영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개별합의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개별합의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별도 제작합의서 필요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계약 자문·협상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해당 수입 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별도 서비스 비용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위임서 필요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확인 및 서명</w:t>
      </w:r>
    </w:p>
    <w:p>
      <w:pPr>
        <w:keepNext/>
        <w:keepLines/>
      </w:pPr>
      <w:r>
        <w:rPr>
          <w:rFonts w:ascii="Calibri" w:hAnsi="Calibri" w:eastAsia="Malgun Gothic"/>
          <w:b w:val="0"/>
        </w:rPr>
        <w:t>본 문서는 전속 매니지먼트 계약의 일부를 구성하며, 당사자는 기재 내용을 확인한다.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작성일: ______년 ___월 ___일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별지 1 - 단기형 수익분류표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