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2926080" cy="453656"/>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2926080" cy="453656"/>
                    </a:xfrm>
                    <a:prstGeom prst="rect"/>
                  </pic:spPr>
                </pic:pic>
              </a:graphicData>
            </a:graphic>
          </wp:inline>
        </w:drawing>
      </w:r>
    </w:p>
    <w:p>
      <w:pPr>
        <w:spacing w:before="560" w:after="200"/>
        <w:jc w:val="center"/>
      </w:pPr>
      <w:r>
        <w:rPr>
          <w:rFonts w:ascii="Calibri" w:hAnsi="Calibri" w:eastAsia="Malgun Gothic"/>
          <w:b/>
          <w:color w:val="0B2545"/>
          <w:sz w:val="48"/>
        </w:rPr>
        <w:t>선수용 장기형 핵심설명서</w:t>
      </w:r>
    </w:p>
    <w:p>
      <w:pPr>
        <w:spacing w:after="440"/>
        <w:jc w:val="center"/>
      </w:pPr>
      <w:r>
        <w:rPr>
          <w:rFonts w:ascii="Calibri" w:hAnsi="Calibri" w:eastAsia="Malgun Gothic"/>
          <w:color w:val="1F4D78"/>
          <w:sz w:val="24"/>
        </w:rPr>
        <w:t>AAC 계약 패키지</w:t>
      </w:r>
    </w:p>
    <w:p>
      <w:pPr>
        <w:pBdr>
          <w:bottom w:val="single" w:sz="10" w:space="6" w:color="1F4D78"/>
        </w:pBdr>
      </w:pPr>
    </w:p>
    <w:p>
      <w:pPr>
        <w:pStyle w:val="Heading2"/>
        <w:keepNext/>
      </w:pPr>
      <w:r>
        <w:t>먼저 읽기 - 왜 재투자형인가요?</w:t>
      </w:r>
    </w:p>
    <w:p>
      <w:r>
        <w:rPr>
          <w:rFonts w:ascii="Calibri" w:hAnsi="Calibri" w:eastAsia="Malgun Gothic"/>
          <w:b w:val="0"/>
        </w:rPr>
        <w:t>장기형은 단순히 광고를 연결하고 수수료를 나누는 계약이 아니다. 선수의 기록과 강점을 제대로 설명할 프로필, 사진·영상·콘텐츠, 파트너 제안자료와 지속 가능한 브랜드 자산을 함께 만들고, 선수를 오래 이해하며 함께 성장할 비즈니스 파트너를 찾는 것을 목표로 한다.</w:t>
      </w:r>
    </w:p>
    <w:p>
      <w:r>
        <w:rPr>
          <w:rFonts w:ascii="Calibri" w:hAnsi="Calibri" w:eastAsia="Malgun Gothic"/>
          <w:b w:val="0"/>
        </w:rPr>
        <w:t xml:space="preserve">재투자금은 선수에게 먼저 귀속된 돈을 다시 걷는 방식이 아니라 </w:t>
      </w:r>
      <w:r>
        <w:rPr>
          <w:rFonts w:ascii="Calibri" w:hAnsi="Calibri" w:eastAsia="Malgun Gothic"/>
          <w:b/>
        </w:rPr>
        <w:t>회사에 확정적으로 귀속된 몫 중 약정한 부분을 회사가 다시 투입하는 구조</w:t>
      </w:r>
      <w:r>
        <w:rPr>
          <w:rFonts w:ascii="Calibri" w:hAnsi="Calibri" w:eastAsia="Malgun Gothic"/>
          <w:b w:val="0"/>
        </w:rPr>
        <w:t>이다. 회사는 예산과 목적을 미리 제시해 선수의 승인을 받고, 집행 내역과 증빙을 원장으로 공개한다.</w:t>
      </w:r>
    </w:p>
    <w:p>
      <w:pPr>
        <w:pStyle w:val="Heading2"/>
        <w:keepNext/>
      </w:pPr>
      <w:r>
        <w:t>장기형에서 회사가 약속하는 기본 흐름</w:t>
      </w:r>
    </w:p>
    <w:p>
      <w:pPr>
        <w:numPr>
          <w:ilvl w:val="0"/>
          <w:numId w:val="12"/>
        </w:numPr>
      </w:pPr>
      <w:r>
        <w:rPr>
          <w:rFonts w:ascii="Calibri" w:hAnsi="Calibri" w:eastAsia="Malgun Gothic"/>
          <w:b w:val="0"/>
        </w:rPr>
        <w:t>계약 후 60일 이내에 시즌 또는 연간 성장계획을 함께 정한다.</w:t>
      </w:r>
    </w:p>
    <w:p>
      <w:pPr>
        <w:numPr>
          <w:ilvl w:val="0"/>
          <w:numId w:val="12"/>
        </w:numPr>
      </w:pPr>
      <w:r>
        <w:rPr>
          <w:rFonts w:ascii="Calibri" w:hAnsi="Calibri" w:eastAsia="Malgun Gothic"/>
          <w:b w:val="0"/>
        </w:rPr>
        <w:t>활동이 있는 분기마다 수행 업무, 파트너 발굴과 재투자 현황을 공유한다.</w:t>
      </w:r>
    </w:p>
    <w:p>
      <w:pPr>
        <w:numPr>
          <w:ilvl w:val="0"/>
          <w:numId w:val="12"/>
        </w:numPr>
      </w:pPr>
      <w:r>
        <w:rPr>
          <w:rFonts w:ascii="Calibri" w:hAnsi="Calibri" w:eastAsia="Malgun Gothic"/>
          <w:b w:val="0"/>
        </w:rPr>
        <w:t>선수의 훈련·경기·건강과 공식 소속기관 의무를 먼저 고려한다.</w:t>
      </w:r>
    </w:p>
    <w:p>
      <w:pPr>
        <w:numPr>
          <w:ilvl w:val="0"/>
          <w:numId w:val="12"/>
        </w:numPr>
      </w:pPr>
      <w:r>
        <w:rPr>
          <w:rFonts w:ascii="Calibri" w:hAnsi="Calibri" w:eastAsia="Malgun Gothic"/>
          <w:b w:val="0"/>
        </w:rPr>
        <w:t>AAC 멤버십과 공식 소속기관은 함께 표시할 수 있으며 서로를 대체하지 않는다.</w:t>
      </w:r>
    </w:p>
    <w:p>
      <w:pPr>
        <w:pStyle w:val="Heading2"/>
        <w:keepNext/>
      </w:pPr>
      <w:r>
        <w:t>1. 내 소속팀 연봉도 회사와 나누나요?</w:t>
      </w:r>
    </w:p>
    <w:p>
      <w:r>
        <w:rPr>
          <w:rFonts w:ascii="Calibri" w:hAnsi="Calibri" w:eastAsia="Malgun Gothic"/>
          <w:b w:val="0"/>
        </w:rPr>
        <w:t>아닙니다. 실업팀·기업팀·국가대표·지자체·체육회·학교 등에서 받는 연봉·계약금·성과금·수당·포상금은 선수 본인에게 100% 귀속됩니다.</w:t>
      </w:r>
    </w:p>
    <w:p>
      <w:pPr>
        <w:pStyle w:val="Heading2"/>
        <w:keepNext/>
      </w:pPr>
      <w:r>
        <w:t>2. 대회 상금도 나누나요?</w:t>
      </w:r>
    </w:p>
    <w:p>
      <w:r>
        <w:rPr>
          <w:rFonts w:ascii="Calibri" w:hAnsi="Calibri" w:eastAsia="Malgun Gothic"/>
          <w:b w:val="0"/>
        </w:rPr>
        <w:t>아닙니다. 경기 결과와 기록으로 받는 상금은 선수에게 100% 귀속됩니다.</w:t>
      </w:r>
    </w:p>
    <w:p>
      <w:pPr>
        <w:pStyle w:val="Heading2"/>
        <w:keepNext/>
      </w:pPr>
      <w:r>
        <w:t>3. 회사는 어떤 돈을 나누나요?</w:t>
      </w:r>
    </w:p>
    <w:p>
      <w:r>
        <w:rPr>
          <w:rFonts w:ascii="Calibri" w:hAnsi="Calibri" w:eastAsia="Malgun Gothic"/>
          <w:b w:val="0"/>
        </w:rPr>
        <w:t>회사가 직접 유치하거나 교섭한 개인 스폰서십·광고·방송·행사·강연·출전료·콘텐츠 수익을 나눕니다.</w:t>
      </w:r>
    </w:p>
    <w:p>
      <w:pPr>
        <w:pStyle w:val="Heading2"/>
        <w:keepNext/>
      </w:pPr>
      <w:r>
        <w:t>4. 기본 배분은 어떻게 되나요?</w:t>
      </w:r>
    </w:p>
    <w:p>
      <w:r>
        <w:rPr>
          <w:rFonts w:ascii="Calibri" w:hAnsi="Calibri" w:eastAsia="Malgun Gothic"/>
          <w:b w:val="0"/>
        </w:rPr>
        <w:t>직접비용을 공제한 순수익을 선수 50%, 회사 50%로 나눕니다.</w:t>
      </w:r>
    </w:p>
    <w:p>
      <w:pPr>
        <w:pStyle w:val="Heading2"/>
        <w:keepNext/>
      </w:pPr>
      <w:r>
        <w:t>5. 회사 몫 중 80%는 어떻게 되나요?</w:t>
      </w:r>
    </w:p>
    <w:p>
      <w:r>
        <w:rPr>
          <w:rFonts w:ascii="Calibri" w:hAnsi="Calibri" w:eastAsia="Malgun Gothic"/>
          <w:b w:val="0"/>
        </w:rPr>
        <w:t>회사의 기본 배분금 중 80%는 선수의 프로필·영상·유튜브·홍보 등에 다시 투자합니다. 20%는 회사 운영 유보금입니다.</w:t>
      </w:r>
    </w:p>
    <w:p>
      <w:pPr>
        <w:pStyle w:val="Heading2"/>
        <w:keepNext/>
      </w:pPr>
      <w:r>
        <w:t>6. 재투자 콘텐츠 수익은 어떻게 나누나요?</w:t>
      </w:r>
    </w:p>
    <w:p>
      <w:r>
        <w:rPr>
          <w:rFonts w:ascii="Calibri" w:hAnsi="Calibri" w:eastAsia="Malgun Gothic"/>
          <w:b w:val="0"/>
        </w:rPr>
        <w:t>콘텐츠 순매출의 40%를 회사가 먼저 투자수익으로 받고, 남은 60%를 선수와 회사가 절반씩 나눕니다. 결과적으로 선수 30%, 회사 70%입니다.</w:t>
      </w:r>
    </w:p>
    <w:p>
      <w:pPr>
        <w:pStyle w:val="Heading2"/>
        <w:keepNext/>
      </w:pPr>
      <w:r>
        <w:t>7. 계약이 끝난 뒤 콘텐츠 수익은 어떻게 되나요?</w:t>
      </w:r>
    </w:p>
    <w:p>
      <w:r>
        <w:rPr>
          <w:rFonts w:ascii="Calibri" w:hAnsi="Calibri" w:eastAsia="Malgun Gothic"/>
          <w:b w:val="0"/>
        </w:rPr>
        <w:t>계약 종료 후 3년 동안은 선수 42%, 회사 58%입니다. 3년이 지나면 기존 콘텐츠 수익은 회사에 귀속됩니다.</w:t>
      </w:r>
    </w:p>
    <w:p>
      <w:pPr>
        <w:pStyle w:val="Heading2"/>
        <w:keepNext/>
      </w:pPr>
      <w:r>
        <w:t>8. 유튜브 채널은 누구 것인가요?</w:t>
      </w:r>
    </w:p>
    <w:p>
      <w:r>
        <w:rPr>
          <w:rFonts w:ascii="Calibri" w:hAnsi="Calibri" w:eastAsia="Malgun Gothic"/>
          <w:b w:val="0"/>
        </w:rPr>
        <w:t>회사가 투자해서 개설·운영한 채널의 운영권은 회사에 있습니다. 선수는 계약 종료 후 정해진 이전대가를 내고 인수를 요청할 수 있습니다.</w:t>
      </w:r>
    </w:p>
    <w:p>
      <w:pPr>
        <w:pStyle w:val="Heading2"/>
        <w:keepNext/>
      </w:pPr>
      <w:r>
        <w:t>9. 부상을 당하면 위약금을 내나요?</w:t>
      </w:r>
    </w:p>
    <w:p>
      <w:r>
        <w:rPr>
          <w:rFonts w:ascii="Calibri" w:hAnsi="Calibri" w:eastAsia="Malgun Gothic"/>
          <w:b w:val="0"/>
        </w:rPr>
        <w:t>선수 잘못이 아닌 부상·질병으로 계약을 종료하는 경우 위약벌은 없습니다. 미회수 투자금은 기존 콘텐츠·채널 수익에서 먼저 회수합니다.</w:t>
      </w:r>
    </w:p>
    <w:p>
      <w:pPr>
        <w:pStyle w:val="Heading2"/>
        <w:keepNext/>
      </w:pPr>
      <w:r>
        <w:t>10. 팀 연봉협상도 회사가 해줄 수 있나요?</w:t>
      </w:r>
    </w:p>
    <w:p>
      <w:r>
        <w:rPr>
          <w:rFonts w:ascii="Calibri" w:hAnsi="Calibri" w:eastAsia="Malgun Gothic"/>
          <w:b w:val="0"/>
        </w:rPr>
        <w:t>선수가 원하면 가능합니다. 다만 별도의 위임서와 비용합의가 필요합니다. 회사가 협상하더라도 연봉 자체는 선수에게 100% 귀속됩니다.</w:t>
      </w:r>
    </w:p>
    <w:sectPr w:rsidR="00FC693F" w:rsidRPr="0006063C" w:rsidSect="00034616">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선수용 장기형 핵심설명서</dc:title>
  <dc:subject>AAC 계약 패키지</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