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선수용 단기형 핵심설명서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pPr>
        <w:pStyle w:val="Heading2"/>
        <w:keepNext/>
      </w:pPr>
      <w:r>
        <w:t>먼저 읽기 - 단기형은 무엇이 다른가요?</w:t>
      </w:r>
    </w:p>
    <w:p>
      <w:r>
        <w:rPr>
          <w:rFonts w:ascii="Calibri" w:hAnsi="Calibri" w:eastAsia="Malgun Gothic"/>
          <w:b w:val="0"/>
        </w:rPr>
        <w:t xml:space="preserve">단기형은 AAC의 대외 브랜드 멤버십은 함께하되, 계약상 업무를 </w:t>
      </w:r>
      <w:r>
        <w:rPr>
          <w:rFonts w:ascii="Calibri" w:hAnsi="Calibri" w:eastAsia="Malgun Gothic"/>
          <w:b/>
        </w:rPr>
        <w:t>회사가 직접 발굴한 광고·후원·방송·행사·강연·출전료 거래의 제안 검토, 교섭, 일정 조정과 정산</w:t>
      </w:r>
      <w:r>
        <w:rPr>
          <w:rFonts w:ascii="Calibri" w:hAnsi="Calibri" w:eastAsia="Malgun Gothic"/>
          <w:b w:val="0"/>
        </w:rPr>
        <w:t>에 한정하는 에이전시형 계약이다. 선수의 공식 소속기관 수입·경기상금·기존 거래·자체 유치 거래에는 회사 수수료가 없다.</w:t>
      </w:r>
    </w:p>
    <w:p>
      <w:r>
        <w:rPr>
          <w:rFonts w:ascii="Calibri" w:hAnsi="Calibri" w:eastAsia="Malgun Gothic"/>
          <w:b w:val="0"/>
        </w:rPr>
        <w:t>장기형과 달리 의무 재투자, 미회수 재투자금, 채널 소유권과 종료 후 새 수수료가 생기지 않는다. AAC 공통 콘텐츠 참여보상은 별도 운영기준에 따라 이용할 수 있다.</w:t>
      </w:r>
    </w:p>
    <w:p>
      <w:pPr>
        <w:pStyle w:val="Heading2"/>
        <w:keepNext/>
      </w:pPr>
      <w:r>
        <w:t>1. 계약기간</w:t>
      </w:r>
    </w:p>
    <w:p>
      <w:r>
        <w:rPr>
          <w:rFonts w:ascii="Calibri" w:hAnsi="Calibri" w:eastAsia="Malgun Gothic"/>
          <w:b w:val="0"/>
        </w:rPr>
        <w:t>최초 1년이며 자동연장은 없습니다. 갱신하려면 만료 전에 기간·업무·수수료를 다시 정하여 상호 서면합의해야 합니다.</w:t>
      </w:r>
    </w:p>
    <w:p>
      <w:pPr>
        <w:pStyle w:val="Heading2"/>
        <w:keepNext/>
      </w:pPr>
      <w:r>
        <w:t>2. 선수에게 100% 귀속되는 돈</w:t>
      </w:r>
    </w:p>
    <w:p>
      <w:r>
        <w:rPr>
          <w:rFonts w:ascii="Calibri" w:hAnsi="Calibri" w:eastAsia="Malgun Gothic"/>
          <w:b w:val="0"/>
        </w:rPr>
        <w:t>소속기관 수입, 경기상금·포상금·장학금·연금·지원금, 기존 거래와 선수 자체 유치 거래는 선수에게 100% 귀속됩니다.</w:t>
      </w:r>
    </w:p>
    <w:p>
      <w:pPr>
        <w:pStyle w:val="Heading2"/>
        <w:keepNext/>
      </w:pPr>
      <w:r>
        <w:t>3. 회사 진행 수수료</w:t>
      </w:r>
    </w:p>
    <w:p>
      <w:r>
        <w:rPr>
          <w:rFonts w:ascii="Calibri" w:hAnsi="Calibri" w:eastAsia="Malgun Gothic"/>
          <w:b w:val="0"/>
        </w:rPr>
        <w:t>회사가 계약기간 중 직접 발굴하고 실질적으로 교섭·관리한 광고, 후원, 방송, 행사, 강연, 출전료·초청료의 광고주 총 계약금액을 기준으로 선수 70%, 회사 30%로 배분합니다. 별도 부가가치세와 실제 환불·취소액만 분리하며, 직접비용은 70:30 분배 전에 공제하지 않습니다. 회사 몫은 해당 거래의 진행 수수료입니다.</w:t>
      </w:r>
    </w:p>
    <w:p>
      <w:pPr>
        <w:pStyle w:val="Heading2"/>
        <w:keepNext/>
      </w:pPr>
      <w:r>
        <w:t>4. 별도 합의가 필요한 업무</w:t>
      </w:r>
    </w:p>
    <w:p>
      <w:r>
        <w:rPr>
          <w:rFonts w:ascii="Calibri" w:hAnsi="Calibri" w:eastAsia="Malgun Gothic"/>
          <w:b w:val="0"/>
        </w:rPr>
        <w:t>콘텐츠 제작, 유료 광고집행, 채널 운영, 브랜드 개발과 소속기관 계약 자문·협상은 예산과 권리를 정한 별도 서면합의가 있어야 합니다. 본 계약만으로 재투자 의무나 채널 소유권은 생기지 않습니다.</w:t>
      </w:r>
    </w:p>
    <w:p>
      <w:pPr>
        <w:pStyle w:val="Heading2"/>
        <w:keepNext/>
      </w:pPr>
      <w:r>
        <w:t>5. 계약 종료</w:t>
      </w:r>
    </w:p>
    <w:p>
      <w:r>
        <w:rPr>
          <w:rFonts w:ascii="Calibri" w:hAnsi="Calibri" w:eastAsia="Malgun Gothic"/>
          <w:b w:val="0"/>
        </w:rPr>
        <w:t>기간 만료 때 갱신하지 않는다는 이유만으로 위약금이나 불이익을 부과하지 않습니다. 계약 종료 후 새로운 수수료나 권리는 생기지 않으며, 계약기간 중 실제로 수행하여 체결된 동일 거래의 대가가 뒤늦게 지급되는 경우만 정산합니다.</w:t>
      </w:r>
    </w:p>
    <w:p>
      <w:pPr>
        <w:pStyle w:val="Heading2"/>
        <w:keepNext/>
      </w:pPr>
      <w:r>
        <w:t>6. 정산과 자료 확인</w:t>
      </w:r>
    </w:p>
    <w:p>
      <w:r>
        <w:rPr>
          <w:rFonts w:ascii="Calibri" w:hAnsi="Calibri" w:eastAsia="Malgun Gothic"/>
          <w:b w:val="0"/>
        </w:rPr>
        <w:t>회사는 수익 수령 후 30일 이내에 정산합니다. 정산명세서에 광고주 총 계약금액, 부가가치세, 환불·취소액, 분배기준액, 선수 70%와 회사 30%를 구분하여 표시합니다. 별도 직접비용은 부담자를 따로 합의하고 70:30 분배 전에 공제하지 않습니다. 선수는 연 1회 합리적인 범위에서 정산자료를 확인할 수 있습니다.</w:t>
      </w:r>
    </w:p>
    <w:p>
      <w:pPr>
        <w:pStyle w:val="Heading2"/>
        <w:keepNext/>
      </w:pPr>
      <w:r>
        <w:t>7. 전속·인격표지 범위</w:t>
      </w:r>
    </w:p>
    <w:p>
      <w:r>
        <w:rPr>
          <w:rFonts w:ascii="Calibri" w:hAnsi="Calibri" w:eastAsia="Malgun Gothic"/>
          <w:b w:val="0"/>
        </w:rPr>
        <w:t>전속 업무는 회사가 직접 발굴한 상업거래에만 한정됩니다. 선수 자체 유치·기존·제외 거래는 회사 승인 대상이 아니며, 이름·초상·음성 이용은 거래별 사전 서면 승인이 있어야 합니다.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선수용 단기형 핵심설명서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