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선수용 단기형 Q&amp;A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Q&amp;A를 읽기 전에 - AAC와 단기 에이전시의 관계</w:t>
      </w:r>
    </w:p>
    <w:p>
      <w:r>
        <w:rPr>
          <w:rFonts w:ascii="Calibri" w:hAnsi="Calibri" w:eastAsia="Malgun Gothic"/>
          <w:b w:val="0"/>
        </w:rPr>
        <w:t>선수는 대외적으로 AAC Athlete로 소개될 수 있지만 공식 팀·학교·직장 소속이 바뀌는 것은 아니다. 단기형에서 회사의 전속 업무와 30% 진행 수수료는 회사가 직접 유치하고 실질적으로 교섭·관리한 상업거래에만 적용된다.</w:t>
      </w:r>
    </w:p>
    <w:p>
      <w:r>
        <w:rPr>
          <w:rFonts w:ascii="Calibri" w:hAnsi="Calibri" w:eastAsia="Malgun Gothic"/>
          <w:b w:val="0"/>
        </w:rPr>
        <w:t>AAC 공통 콘텐츠 참여보상은 회사 30% 수수료와 별개의 인센티브이며, 콘텐츠 소유권이나 채널 운영권을 회사에 자동으로 넘기는 대가가 아니다.</w:t>
      </w:r>
    </w:p>
    <w:p>
      <w:pPr>
        <w:pStyle w:val="Heading2"/>
        <w:keepNext/>
      </w:pPr>
      <w:r>
        <w:t>Q1. 회사는 모든 선수 수입에서 30%를 받나요?</w:t>
      </w:r>
    </w:p>
    <w:p>
      <w:r>
        <w:rPr>
          <w:rFonts w:ascii="Calibri" w:hAnsi="Calibri" w:eastAsia="Malgun Gothic"/>
          <w:b w:val="0"/>
        </w:rPr>
        <w:t>아닙니다. 소속기관 수입, 경기상금·포상금·장학금·연금·지원금, 기존 거래와 선수 자체 유치 거래는 선수에게 100% 귀속됩니다.</w:t>
      </w:r>
    </w:p>
    <w:p>
      <w:pPr>
        <w:pStyle w:val="Heading2"/>
        <w:keepNext/>
      </w:pPr>
      <w:r>
        <w:t>Q2. 어떤 돈에 70:30이 적용되나요?</w:t>
      </w:r>
    </w:p>
    <w:p>
      <w:r>
        <w:rPr>
          <w:rFonts w:ascii="Calibri" w:hAnsi="Calibri" w:eastAsia="Malgun Gothic"/>
          <w:b w:val="0"/>
        </w:rPr>
        <w:t>계약기간 중 회사가 직접 발굴하고 실질적으로 교섭·관리하여 체결한 광고·후원·방송·행사·강연·출전료 거래의 광고주 총 계약금액에 선수 70%, 회사 30%가 적용됩니다. 별도 부가가치세와 실제 환불·취소액만 분리합니다.</w:t>
      </w:r>
    </w:p>
    <w:p>
      <w:pPr>
        <w:pStyle w:val="Heading2"/>
        <w:keepNext/>
      </w:pPr>
      <w:r>
        <w:t>Q3. 회사 30%의 성격은 무엇인가요?</w:t>
      </w:r>
    </w:p>
    <w:p>
      <w:r>
        <w:rPr>
          <w:rFonts w:ascii="Calibri" w:hAnsi="Calibri" w:eastAsia="Malgun Gothic"/>
          <w:b w:val="0"/>
        </w:rPr>
        <w:t>해당 상업거래를 발굴·교섭·관리한 진행 수수료입니다. 재투자금이나 채널·콘텐츠 소유권 취득금이 아닙니다.</w:t>
      </w:r>
    </w:p>
    <w:p>
      <w:pPr>
        <w:pStyle w:val="Heading2"/>
        <w:keepNext/>
      </w:pPr>
      <w:r>
        <w:t>Q4. 직접비용을 70:30 분배 전에 빼나요?</w:t>
      </w:r>
    </w:p>
    <w:p>
      <w:r>
        <w:rPr>
          <w:rFonts w:ascii="Calibri" w:hAnsi="Calibri" w:eastAsia="Malgun Gothic"/>
          <w:b w:val="0"/>
        </w:rPr>
        <w:t>아닙니다. 광고주 총 계약금액을 기준으로 먼저 70:30을 계산합니다. 제작비·촬영비 등 별도 직접비용은 항목·금액·부담자를 미리 서면으로 합의하고, 분배기준액에서 먼저 공제하지 않습니다.</w:t>
      </w:r>
    </w:p>
    <w:p>
      <w:pPr>
        <w:pStyle w:val="Heading2"/>
        <w:keepNext/>
      </w:pPr>
      <w:r>
        <w:t>Q5. 부가가치세와 원천징수는 어떻게 하나요?</w:t>
      </w:r>
    </w:p>
    <w:p>
      <w:r>
        <w:rPr>
          <w:rFonts w:ascii="Calibri" w:hAnsi="Calibri" w:eastAsia="Malgun Gothic"/>
          <w:b w:val="0"/>
        </w:rPr>
        <w:t>부가가치세는 분배기준액에서 제외하고 법에 따라 별도로 처리합니다. 법정 원천징수는 각 소득 귀속자의 세금 납부이며 70:30 분배 전에 비용으로 공제하지 않습니다.</w:t>
      </w:r>
    </w:p>
    <w:p>
      <w:pPr>
        <w:pStyle w:val="Heading2"/>
        <w:keepNext/>
      </w:pPr>
      <w:r>
        <w:t>Q6. 기존 스폰서가 갱신되면 수수료가 생기나요?</w:t>
      </w:r>
    </w:p>
    <w:p>
      <w:r>
        <w:rPr>
          <w:rFonts w:ascii="Calibri" w:hAnsi="Calibri" w:eastAsia="Malgun Gothic"/>
          <w:b w:val="0"/>
        </w:rPr>
        <w:t>단순 유지나 자동연장에는 생기지 않습니다. 회사가 금액·기간·권리조건을 실질적으로 개선하고 선수가 사전에 서면 확인한 갱신에만 적용됩니다.</w:t>
      </w:r>
    </w:p>
    <w:p>
      <w:pPr>
        <w:pStyle w:val="Heading2"/>
        <w:keepNext/>
      </w:pPr>
      <w:r>
        <w:t>Q7. 계약은 자동으로 연장되나요?</w:t>
      </w:r>
    </w:p>
    <w:p>
      <w:r>
        <w:rPr>
          <w:rFonts w:ascii="Calibri" w:hAnsi="Calibri" w:eastAsia="Malgun Gothic"/>
          <w:b w:val="0"/>
        </w:rPr>
        <w:t>아닙니다. 최초 1년 후 갱신하려면 만료 전에 상호 서면합의를 해야 합니다.</w:t>
      </w:r>
    </w:p>
    <w:p>
      <w:pPr>
        <w:pStyle w:val="Heading2"/>
        <w:keepNext/>
      </w:pPr>
      <w:r>
        <w:t>Q8. 계약 종료 후에도 회사가 계속 수수료를 받나요?</w:t>
      </w:r>
    </w:p>
    <w:p>
      <w:r>
        <w:rPr>
          <w:rFonts w:ascii="Calibri" w:hAnsi="Calibri" w:eastAsia="Malgun Gothic"/>
          <w:b w:val="0"/>
        </w:rPr>
        <w:t>새로운 수수료나 권리는 생기지 않습니다. 다만 계약기간 중 회사가 실제로 수행하여 체결된 동일 거래의 대가가 종료 후 지급되면 그 수령액만 정산합니다.</w:t>
      </w:r>
    </w:p>
    <w:p>
      <w:pPr>
        <w:pStyle w:val="Heading2"/>
        <w:keepNext/>
      </w:pPr>
      <w:r>
        <w:t>Q9. 콘텐츠와 채널 권리는 어떻게 되나요?</w:t>
      </w:r>
    </w:p>
    <w:p>
      <w:r>
        <w:rPr>
          <w:rFonts w:ascii="Calibri" w:hAnsi="Calibri" w:eastAsia="Malgun Gothic"/>
          <w:b w:val="0"/>
        </w:rPr>
        <w:t>본 계약만으로 회사에 소유권이나 영구 이용권이 생기지 않습니다. 제작·운영이 필요하면 비용, 권리, 이용기간과 수익배분을 별도 서면합의합니다.</w:t>
      </w:r>
    </w:p>
    <w:p>
      <w:pPr>
        <w:pStyle w:val="Heading2"/>
        <w:keepNext/>
      </w:pPr>
      <w:r>
        <w:t>Q10. 정산자료를 볼 수 있나요?</w:t>
      </w:r>
    </w:p>
    <w:p>
      <w:r>
        <w:rPr>
          <w:rFonts w:ascii="Calibri" w:hAnsi="Calibri" w:eastAsia="Malgun Gothic"/>
          <w:b w:val="0"/>
        </w:rPr>
        <w:t>회사는 수령 후 30일 이내에 항목별 명세와 증빙을 제공하고, 선수는 이의를 제기하거나 연 1회 합리적인 범위에서 확인할 수 있습니다.</w:t>
      </w:r>
    </w:p>
    <w:p>
      <w:pPr>
        <w:pStyle w:val="Heading2"/>
        <w:keepNext/>
      </w:pPr>
      <w:r>
        <w:t>Q11. 공인 선수대리인이 필요한 거래는 누가 하나요?</w:t>
      </w:r>
    </w:p>
    <w:p>
      <w:r>
        <w:rPr>
          <w:rFonts w:ascii="Calibri" w:hAnsi="Calibri" w:eastAsia="Malgun Gothic"/>
          <w:b w:val="0"/>
        </w:rPr>
        <w:t>World Athletics 규정이 적용되는 거래는 유효한 자격을 가진 대리인이 수행해야 하며 회사는 담당자의 성명과 등록번호를 서면으로 알립니다.</w:t>
      </w:r>
    </w:p>
    <w:p>
      <w:pPr>
        <w:pStyle w:val="Heading2"/>
        <w:keepNext/>
      </w:pPr>
      <w:r>
        <w:t>Q12. 계약 전 법률 검토를 받을 수 있나요?</w:t>
      </w:r>
    </w:p>
    <w:p>
      <w:r>
        <w:rPr>
          <w:rFonts w:ascii="Calibri" w:hAnsi="Calibri" w:eastAsia="Malgun Gothic"/>
          <w:b w:val="0"/>
        </w:rPr>
        <w:t>회사는 독립적인 법률 조언을 받을 수 있음을 서면으로 알리고 선수의 선택을 확인해야 합니다.</w:t>
      </w:r>
    </w:p>
    <w:p>
      <w:pPr>
        <w:pStyle w:val="Heading2"/>
        <w:keepNext/>
      </w:pPr>
      <w:r>
        <w:t>Q13. 선수가 스스로 유치한 거래도 회사 승인이 필요한가요?</w:t>
      </w:r>
    </w:p>
    <w:p>
      <w:r>
        <w:rPr>
          <w:rFonts w:ascii="Calibri" w:hAnsi="Calibri" w:eastAsia="Malgun Gothic"/>
          <w:b w:val="0"/>
        </w:rPr>
        <w:t>아닙니다. 전속 업무는 회사 유치 상업거래에만 한정되며, 선수 자체 유치·기존·제외 거래는 회사 승인이나 보고가 필요하지 않습니다.</w:t>
      </w:r>
    </w:p>
    <w:p>
      <w:pPr>
        <w:pStyle w:val="Heading2"/>
        <w:keepNext/>
      </w:pPr>
      <w:r>
        <w:t>Q14. 회사가 초상·이름·음성을 포괄적으로 쓸 수 있나요?</w:t>
      </w:r>
    </w:p>
    <w:p>
      <w:r>
        <w:rPr>
          <w:rFonts w:ascii="Calibri" w:hAnsi="Calibri" w:eastAsia="Malgun Gothic"/>
          <w:b w:val="0"/>
        </w:rPr>
        <w:t>아닙니다. 각 상업거래마다 매체·목적·기간·지역을 정한 사전 서면 승인이 필요하며 포괄적·독점적·영구적 이용권은 생기지 않습니다.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선수용 단기형 Q&amp;A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