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단기형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관한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단기형 전속 업무와 30% 수수료는 회사 유치 상업거래에만 한정됨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콘텐츠 참여보상은 수수료·재투자금과 별개의 자발적 인센티브임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최초 계약기간은 1년이고 갱신은 상호 서면합의로만 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 만료 시 갱신하지 않아도 위약금·불이익이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수입과 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상업거래: 광고주 총 계약금액의 선수 70%·회사 30%, 별도 에이전시 비용 추가 공제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30%는 해당 거래의 진행 수수료이며 재투자금이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콘텐츠 제작·채널 운영은 별도 서면합의가 필요하고 본 계약만으로 회사 소유권이 생기지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정산기한은 회사의 수익 수령일부터 30일이고 별도 직접비용은 70:30 분배 전에 공제하지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후에는 계약기간 중 실제 수행하여 체결된 동일 거래의 수령액 외에 수수료가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독립적인 법률 조언을 받을 기회를 안내받음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전속 업무는 회사 유치 상업거래에만 한정되고 자체 유치·기존·제외 거래는 승인 대상이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이름·초상·음성 이용은 거래별 사전 서면 승인이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(서명·인)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 (서명·인)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