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2926080" cy="453656"/>
            <wp:docPr id="1" name="Picture 1"/>
            <wp:cNvGraphicFramePr>
              <a:graphicFrameLocks noChangeAspect="1"/>
            </wp:cNvGraphicFramePr>
            <a:graphic>
              <a:graphicData uri="http://schemas.openxmlformats.org/drawingml/2006/picture">
                <pic:pic>
                  <pic:nvPicPr>
                    <pic:cNvPr id="0" name="aac_logo_black.png"/>
                    <pic:cNvPicPr/>
                  </pic:nvPicPr>
                  <pic:blipFill>
                    <a:blip r:embed="rId13"/>
                    <a:stretch>
                      <a:fillRect/>
                    </a:stretch>
                  </pic:blipFill>
                  <pic:spPr>
                    <a:xfrm>
                      <a:off x="0" y="0"/>
                      <a:ext cx="2926080" cy="453656"/>
                    </a:xfrm>
                    <a:prstGeom prst="rect"/>
                  </pic:spPr>
                </pic:pic>
              </a:graphicData>
            </a:graphic>
          </wp:inline>
        </w:drawing>
      </w:r>
    </w:p>
    <w:p>
      <w:pPr>
        <w:spacing w:before="560" w:after="200"/>
        <w:jc w:val="center"/>
      </w:pPr>
      <w:r>
        <w:rPr>
          <w:rFonts w:ascii="Calibri" w:hAnsi="Calibri" w:eastAsia="Malgun Gothic"/>
          <w:b/>
          <w:color w:val="0B2545"/>
          <w:sz w:val="48"/>
        </w:rPr>
        <w:t>AAC 개인채널 콘텐츠 참여보상 운영기준</w:t>
      </w:r>
    </w:p>
    <w:p>
      <w:pPr>
        <w:spacing w:after="440"/>
        <w:jc w:val="center"/>
      </w:pPr>
      <w:r>
        <w:rPr>
          <w:rFonts w:ascii="Calibri" w:hAnsi="Calibri" w:eastAsia="Malgun Gothic"/>
          <w:color w:val="1F4D78"/>
          <w:sz w:val="24"/>
        </w:rPr>
        <w:t>AAC 계약 패키지</w:t>
      </w:r>
    </w:p>
    <w:p>
      <w:pPr>
        <w:pBdr>
          <w:bottom w:val="single" w:sz="10" w:space="6" w:color="1F4D78"/>
        </w:pBdr>
      </w:pPr>
    </w:p>
    <w:p>
      <w:pPr>
        <w:pStyle w:val="Heading2"/>
        <w:keepNext/>
      </w:pPr>
      <w:r>
        <w:t>1. 운영 목적과 원칙</w:t>
      </w:r>
    </w:p>
    <w:p>
      <w:r>
        <w:rPr>
          <w:rFonts w:ascii="Calibri" w:hAnsi="Calibri" w:eastAsia="Malgun Gothic"/>
          <w:b w:val="0"/>
        </w:rPr>
        <w:t>본 제도는 선수의 자발적인 SNS·콘텐츠 참여와 개선을 응원하기 위한 AAC 공통 인센티브이다. 계약유형과 무관하게 회사가 적용을 승인한 AAC 선수에게 운영하며, 참여하지 않았다는 이유로 계약상 불이익을 주지 않는다.</w:t>
      </w:r>
    </w:p>
    <w:p>
      <w:pPr>
        <w:pStyle w:val="Heading2"/>
        <w:keepNext/>
      </w:pPr>
      <w:r>
        <w:t>2. 인정 조건</w:t>
      </w:r>
    </w:p>
    <w:p>
      <w:pPr>
        <w:numPr>
          <w:ilvl w:val="0"/>
          <w:numId w:val="12"/>
        </w:numPr>
      </w:pPr>
      <w:r>
        <w:rPr>
          <w:rFonts w:ascii="Calibri" w:hAnsi="Calibri" w:eastAsia="Malgun Gothic"/>
          <w:b w:val="0"/>
        </w:rPr>
        <w:t xml:space="preserve">피드 게시물과 릴스는 </w:t>
      </w:r>
      <w:r>
        <w:rPr>
          <w:rFonts w:ascii="Calibri" w:hAnsi="Calibri" w:eastAsia="Malgun Gothic"/>
          <w:b/>
        </w:rPr>
        <w:t>@athleticsathleteclub 공동게시가 실제 승인되어 공개된 상태</w:t>
      </w:r>
      <w:r>
        <w:rPr>
          <w:rFonts w:ascii="Calibri" w:hAnsi="Calibri" w:eastAsia="Malgun Gothic"/>
          <w:b w:val="0"/>
        </w:rPr>
        <w:t>여야 한다.</w:t>
      </w:r>
    </w:p>
    <w:p>
      <w:pPr>
        <w:numPr>
          <w:ilvl w:val="0"/>
          <w:numId w:val="12"/>
        </w:numPr>
      </w:pPr>
      <w:r>
        <w:rPr>
          <w:rFonts w:ascii="Calibri" w:hAnsi="Calibri" w:eastAsia="Malgun Gothic"/>
          <w:b w:val="0"/>
        </w:rPr>
        <w:t>선수가 공동게시를 요청했으나 회사가 AAC 메인 피드 구성, 캠페인 시기, 형식 또는 선수·AAC 이미지 조화를 고려해 공동게시가 적합하지 않다고 판단한 경우, 회사가 사전에 서면으로 승인한 개별·단독 업로드를 공동게시 조건 충족으로 본다. 선수 단독 판단은 인정하지 않는다.</w:t>
      </w:r>
    </w:p>
    <w:p>
      <w:pPr>
        <w:numPr>
          <w:ilvl w:val="0"/>
          <w:numId w:val="12"/>
        </w:numPr>
      </w:pPr>
      <w:r>
        <w:rPr>
          <w:rFonts w:ascii="Calibri" w:hAnsi="Calibri" w:eastAsia="Malgun Gothic"/>
          <w:b w:val="0"/>
        </w:rPr>
        <w:t>안전·법령·저작권·소속기관·후원사 규정을 위반한 콘텐츠는 예외승인 대상도 아니며 보상하지 않는다.</w:t>
      </w:r>
    </w:p>
    <w:p>
      <w:pPr>
        <w:numPr>
          <w:ilvl w:val="0"/>
          <w:numId w:val="12"/>
        </w:numPr>
      </w:pPr>
      <w:r>
        <w:rPr>
          <w:rFonts w:ascii="Calibri" w:hAnsi="Calibri" w:eastAsia="Malgun Gothic"/>
          <w:b w:val="0"/>
        </w:rPr>
        <w:t>스토리는 @athleticsathleteclub 계정을 화면에서 확인할 수 있게 태그하고 캡처를 제출한다.</w:t>
      </w:r>
    </w:p>
    <w:p>
      <w:pPr>
        <w:numPr>
          <w:ilvl w:val="0"/>
          <w:numId w:val="12"/>
        </w:numPr>
      </w:pPr>
      <w:r>
        <w:rPr>
          <w:rFonts w:ascii="Calibri" w:hAnsi="Calibri" w:eastAsia="Malgun Gothic"/>
          <w:b w:val="0"/>
        </w:rPr>
        <w:t>심사 시 공개 상태여야 하고 게시일부터 30일 이상 공개를 유지한다. 삭제·비공개 전환 시 회사는 미지급분을 지급하지 않을 수 있다.</w:t>
      </w:r>
    </w:p>
    <w:p>
      <w:pPr>
        <w:pStyle w:val="Heading2"/>
        <w:keepNext/>
      </w:pPr>
      <w:r>
        <w:t>3. 건별 보상표</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콘텐츠 유형</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인정 기준</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건별 보상액</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1-2장</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3-7장</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15,000원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8장 이상</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일반 릴스</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유행 챌린지 릴스</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사전 지정·승인한 챌린지</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25,000원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스토리 태그</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계정 태그가 보이는 캡처</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1,000원</w:t>
            </w:r>
          </w:p>
        </w:tc>
      </w:tr>
    </w:tbl>
    <w:p>
      <w:pPr>
        <w:spacing w:after="40"/>
      </w:pPr>
    </w:p>
    <w:p>
      <w:pPr>
        <w:pStyle w:val="Heading2"/>
        <w:keepNext/>
      </w:pPr>
      <w:r>
        <w:t>4. 중복·공동출연·한도</w:t>
      </w:r>
    </w:p>
    <w:p>
      <w:pPr>
        <w:numPr>
          <w:ilvl w:val="0"/>
          <w:numId w:val="10"/>
        </w:numPr>
      </w:pPr>
      <w:r>
        <w:rPr>
          <w:rFonts w:ascii="Calibri" w:hAnsi="Calibri" w:eastAsia="Malgun Gothic"/>
          <w:b w:val="0"/>
        </w:rPr>
        <w:t>같은 콘텐츠는 가장 높은 한 항목만 인정하며, 플랫폼 변경이나 경미한 재편집은 별도 건으로 보지 않는다.</w:t>
      </w:r>
    </w:p>
    <w:p>
      <w:pPr>
        <w:numPr>
          <w:ilvl w:val="0"/>
          <w:numId w:val="10"/>
        </w:numPr>
      </w:pPr>
      <w:r>
        <w:rPr>
          <w:rFonts w:ascii="Calibri" w:hAnsi="Calibri" w:eastAsia="Malgun Gothic"/>
          <w:b w:val="0"/>
        </w:rPr>
        <w:t>같은 AAC 선수가 함께 출연하고 공동게시한 경우 실제 출연·게시한 각 선수에게 개별 지급한다. 플랫폼 공동게시 인원 제한이 있으면 사전승인, 실제 출연과 계정 태그를 확인한다.</w:t>
      </w:r>
    </w:p>
    <w:p>
      <w:pPr>
        <w:numPr>
          <w:ilvl w:val="0"/>
          <w:numId w:val="10"/>
        </w:numPr>
      </w:pPr>
      <w:r>
        <w:rPr>
          <w:rFonts w:ascii="Calibri" w:hAnsi="Calibri" w:eastAsia="Malgun Gothic"/>
          <w:b w:val="0"/>
        </w:rPr>
        <w:t>시범운영 한도는 스토리 월 10건, 선수 1인 월 총 100,000원이다. 회사는 예산·성과를 검토하여 다음 달 이후 기준을 사전 고지로 변경할 수 있고 이미 적법하게 게시된 건에는 소급하지 않는다.</w:t>
      </w:r>
    </w:p>
    <w:p>
      <w:pPr>
        <w:pStyle w:val="Heading2"/>
        <w:keepNext/>
      </w:pPr>
      <w:r>
        <w:t>5. 신청과 정산</w:t>
      </w:r>
    </w:p>
    <w:p>
      <w:pPr>
        <w:numPr>
          <w:ilvl w:val="0"/>
          <w:numId w:val="13"/>
        </w:numPr>
      </w:pPr>
      <w:r>
        <w:rPr>
          <w:rFonts w:ascii="Calibri" w:hAnsi="Calibri" w:eastAsia="Malgun Gothic"/>
          <w:b w:val="0"/>
        </w:rPr>
        <w:t>게시월 다음 달 5일까지 지정 신청서에 직접 링크와 증빙 캡처를 붙여 회사가 지정한 이메일 또는 카카오톡으로 제출한다.</w:t>
      </w:r>
    </w:p>
    <w:p>
      <w:pPr>
        <w:numPr>
          <w:ilvl w:val="0"/>
          <w:numId w:val="13"/>
        </w:numPr>
      </w:pPr>
      <w:r>
        <w:rPr>
          <w:rFonts w:ascii="Calibri" w:hAnsi="Calibri" w:eastAsia="Malgun Gothic"/>
          <w:b w:val="0"/>
        </w:rPr>
        <w:t>회사가 ‘접수완료’라고 회신한 때 접수된 것으로 본다.</w:t>
      </w:r>
    </w:p>
    <w:p>
      <w:pPr>
        <w:numPr>
          <w:ilvl w:val="0"/>
          <w:numId w:val="13"/>
        </w:numPr>
      </w:pPr>
      <w:r>
        <w:rPr>
          <w:rFonts w:ascii="Calibri" w:hAnsi="Calibri" w:eastAsia="Malgun Gothic"/>
          <w:b w:val="0"/>
        </w:rPr>
        <w:t>회사는 다음 달 10일까지 검토하고 보완이 필요한 경우 1회 보완 기회를 제공한다.</w:t>
      </w:r>
    </w:p>
    <w:p>
      <w:pPr>
        <w:numPr>
          <w:ilvl w:val="0"/>
          <w:numId w:val="13"/>
        </w:numPr>
      </w:pPr>
      <w:r>
        <w:rPr>
          <w:rFonts w:ascii="Calibri" w:hAnsi="Calibri" w:eastAsia="Malgun Gothic"/>
          <w:b w:val="0"/>
        </w:rPr>
        <w:t>승인금은 다음 달 15일까지 지급한다. 지급일이 휴일이면 다음 영업일에 지급할 수 있다.</w:t>
      </w:r>
    </w:p>
    <w:p>
      <w:pPr>
        <w:numPr>
          <w:ilvl w:val="0"/>
          <w:numId w:val="13"/>
        </w:numPr>
      </w:pPr>
      <w:r>
        <w:rPr>
          <w:rFonts w:ascii="Calibri" w:hAnsi="Calibri" w:eastAsia="Malgun Gothic"/>
          <w:b w:val="0"/>
        </w:rPr>
        <w:t>보상액은 세전 금액이며 법령상 필요한 원천징수·신고는 별도로 처리한다.</w:t>
      </w:r>
    </w:p>
    <w:p>
      <w:pPr>
        <w:pStyle w:val="Heading2"/>
        <w:keepNext/>
      </w:pPr>
      <w:r>
        <w:t>6. 권리와 다른 금액의 구분</w:t>
      </w:r>
    </w:p>
    <w:p>
      <w:r>
        <w:rPr>
          <w:rFonts w:ascii="Calibri" w:hAnsi="Calibri" w:eastAsia="Malgun Gothic"/>
          <w:b w:val="0"/>
        </w:rPr>
        <w:t>보상금은 선수 수익, 회사의 진행 수수료, 장기형 재투자금과 별개이며 어떤 금액에서도 공제하지 않는다. 보상 지급만으로 저작권·채널 소유권이 회사로 이전되지 않는다. AAC는 플랫폼의 공동게시·공유 기능 범위에서만 게시물을 노출할 수 있고, 유료 광고·2차 상업 이용은 별도 서면동의를 받는다.</w:t>
      </w:r>
    </w:p>
    <w:p>
      <w:r>
        <w:rPr>
          <w:rFonts w:ascii="Calibri" w:hAnsi="Calibri" w:eastAsia="Malgun Gothic"/>
          <w:b w:val="0"/>
        </w:rPr>
        <w:t>선수의 적극적인 제안이나 참여로 회사가 별도 콘텐츠를 제작하는 경우 기획료·출연료·촬영·편집료 등은 사전 제작합의서에 따라 추가 지급할 수 있다.</w:t>
      </w:r>
    </w:p>
    <w:sectPr w:rsidR="00FC693F" w:rsidRPr="0006063C" w:rsidSect="00034616">
      <w:headerReference w:type="default" r:id="rId9"/>
      <w:footerReference w:type="default" r:id="rId10"/>
      <w:headerReference w:type="first" r:id="rId11"/>
      <w:footerReference w:type="first" r:id="rId12"/>
      <w:pgSz w:w="11906" w:h="16838"/>
      <w:pgMar w:top="1134" w:right="1701" w:bottom="850" w:left="1701"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10">
    <w:abstractNumId w:val="9"/>
  </w:num>
  <w:abstractNum w:abstractNumId="1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11">
    <w:abstractNumId w:val="10"/>
  </w:num>
  <w:num w:numId="12">
    <w:abstractNumId w:val="1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4" w:lineRule="auto"/>
    </w:pPr>
    <w:rPr>
      <w:rFonts w:ascii="맑은 고딕" w:hAnsi="맑은 고딕" w:eastAsia="맑은 고딕"/>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맑은 고딕" w:hAnsi="맑은 고딕" w:eastAsia="맑은 고딕"/>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80" w:line="300" w:lineRule="auto"/>
      <w:ind w:left="269" w:firstLine="0"/>
    </w:pPr>
  </w:style>
  <w:style w:type="paragraph" w:customStyle="1" w:styleId="TableBody">
    <w:name w:val="Table Body"/>
    <w:basedOn w:val="Normal"/>
    <w:pPr>
      <w:spacing w:before="0" w:after="0" w:line="276" w:lineRule="auto"/>
    </w:pPr>
    <w:rPr>
      <w:sz w:val="18"/>
    </w:rPr>
  </w:style>
  <w:style w:type="paragraph" w:customStyle="1" w:styleId="TableHeader">
    <w:name w:val="Table Header"/>
    <w:basedOn w:val="TableBody"/>
    <w:rPr>
      <w:b/>
      <w:color w:val="0B2545"/>
    </w:rPr>
  </w:style>
  <w:style w:type="paragraph" w:customStyle="1" w:styleId="LegalNote">
    <w:name w:val="Legal Note"/>
    <w:basedOn w:val="Normal"/>
    <w:pPr>
      <w:spacing w:before="120" w:after="160" w:line="288" w:lineRule="auto"/>
      <w:ind w:left="259" w:right="259"/>
    </w:pPr>
    <w:rPr>
      <w:color w:val="5F6B7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개인채널 콘텐츠 참여보상 운영기준</dc:title>
  <dc:subject>AAC 계약 패키지</dc:subject>
  <dc:creator>Infinite Opportunity</dc:creator>
  <cp:keywords>육상선수, 전속계약, 매니지먼트, 스폰서십, 콘텐츠</cp:keywords>
  <dc:description>계약 체결 전 빈칸과 별지를 완성하고 전문가 검토를 권장함</dc:description>
  <cp:lastModifiedBy/>
  <cp:revision>1</cp:revision>
  <dcterms:created xsi:type="dcterms:W3CDTF">2013-12-23T23:15:00Z</dcterms:created>
  <dcterms:modified xsi:type="dcterms:W3CDTF">2013-12-23T23:15:00Z</dcterms:modified>
  <cp:category/>
</cp:coreProperties>
</file>