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“직접비용”</w:t>
      </w:r>
      <w:r>
        <w:rPr>
          <w:rFonts w:ascii="Calibri" w:hAnsi="Calibri" w:eastAsia="Malgun Gothic"/>
          <w:b w:val="0"/>
        </w:rPr>
        <w:t>이란 해당 수익을 발생시키기 위해 직접 지출된 플랫폼 수수료, 광고대행 수수료, 제3자 권리자 지급액, 환불금, 대회 참가비, 교통비, 항공료, 숙박비 및 사전에 승인된 비용을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12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13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14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별도의 위임계약 또는 서비스 신청서로 정한다. 이메일·문자·메신저로 업무 범위와 비용에 합의한 경우에도 유효한 서면합의로 본다.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15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16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17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18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19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20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21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22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23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24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25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26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27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>② 선수가 소속기관으로부터 정상적으로 급여를 받는 동안, 회사는 회사의 기본 배분금 중 80%를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28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>⑦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⑧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29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개설·운영한 채널의 개설자 지위, 로그인 권한, 관리자 권한, 채널명·핸들, 수익화 계정 연결권 및 운영권은 회사에 귀속한다.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>② 채널 이전대가는 다음 금액 중 큰 금액으로 한다.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누적 재투자금의 30%에 1,000만 원 초과분의 20%를 더한 금액</w:t>
      </w:r>
    </w:p>
    <w:p>
      <w:pPr>
        <w:numPr>
          <w:ilvl w:val="0"/>
          <w:numId w:val="32"/>
        </w:numPr>
      </w:pPr>
      <w:r>
        <w:rPr>
          <w:rFonts w:ascii="Calibri" w:hAnsi="Calibri" w:eastAsia="Malgun Gothic"/>
          <w:b w:val="0"/>
        </w:rPr>
        <w:t>이전 요청일 직전 24개월 동안의 월평균 채널 순수익에 24를 곱한 금액</w:t>
      </w:r>
    </w:p>
    <w:p>
      <w:r>
        <w:rPr>
          <w:rFonts w:ascii="Calibri" w:hAnsi="Calibri" w:eastAsia="Malgun Gothic"/>
          <w:b w:val="0"/>
        </w:rPr>
        <w:t>③ 채널 운영기간이 24개월 미만인 경우 실제 운영기간의 월평균 순수익에 24를 곱한다. 다만 실제 운영기간이 3개월 미만이면 제2항 제1호를 우선 적용하거나 별도 합의한다.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33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34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35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>⑤ 회사의 귀책으로 선수가 해지하는 경우 선수는 위약벌·미회수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위약벌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36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>② 위약벌은 계약 이행과 전속의무를 확보하기 위한 제재로서, 계약기간 중 발생한 배분대상 총매출의 15%로 한다.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위약벌과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위약벌·투자금 반환·손해배상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>⑥ 위약벌 또는 반환금이 관계 법령상 지나치게 과중하다고 판단되는 경우 당사자는 실제 계약이행 기간, 회사의 투자와 업무수행, 선수의 위반 정도 및 예상손해를 고려하여 조정할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위약벌을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37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38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