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단기형 중요조항 확인서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r>
        <w:rPr>
          <w:rFonts w:ascii="Calibri" w:hAnsi="Calibri" w:eastAsia="Malgun Gothic"/>
          <w:b w:val="0"/>
        </w:rPr>
        <w:t>선수는 다음 사항에 관한 설명을 듣고 확인한다.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630"/>
        <w:gridCol w:w="1870"/>
      </w:tblGrid>
      <w:tr>
        <w:trPr>
          <w:tblHeader w:val="true"/>
          <w:tblHeader/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확인사항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선수 확인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AAC Athlete는 브랜드 멤버십이며 공식 소속팀·학교·직장·등록을 대체하지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단기형 에이전시 업무와 30% 수수료는 회사 유치 상업거래에만 한정됨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AAC 콘텐츠 참여보상은 수수료·재투자금과 별개의 자발적 인센티브임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최초 계약기간은 1년이고 갱신은 상호 서면합의로만 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기간 만료 시 갱신하지 않아도 위약금·불이익이 없음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수입과 경기상금은 선수에게 100% 귀속됨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유치 상업거래: 광고주 총 계약금액의 선수 70%·회사 30%, 별도 에이전시 비용 추가 공제 없음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30%는 해당 거래의 진행 수수료이며 재투자금이 아님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콘텐츠 제작·채널 운영은 별도 서면합의가 필요하고 본 계약만으로 회사 소유권이 생기지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협상은 별도 위임과 비용합의가 필요함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정산기한은 회사의 수익 수령일부터 30일이고 별도 직접비용은 70:30 분배 전에 공제하지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 종료 후에는 계약기간 중 실제 수행하여 체결된 동일 거래의 수령액 외에 수수료가 없음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독립적인 법률 조언을 받을 기회를 안내받음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개인정보·민감정보 동의서(14번)를 받았으며, 선택 항목에 동의하지 않아도 불이익이 없음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겸직 허가·소속기관 승인은 계약 전에 받을 것을 권장하며, 받지 않으면 분쟁·징계 등 불이익이 생길 수 있음을 알고 있음. 회사는 준비를 도울 수 있으나 대리인이 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전속 업무는 회사 유치 상업거래에만 한정되고 자체 유치·기존·제외 거래는 승인 대상이 아님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이름·초상·음성 이용은 거래별 사전 서면 승인이 필요함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b w:val="0"/>
        </w:rPr>
        <w:t>선수는 충분한 설명을 듣고 질문할 기회를 제공받았음을 확인한다.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설명일: ______년 ___월 ___일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설명자: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(서명·인)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법정대리인: __________________ (서명·인)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단기형 중요조항 확인서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