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개설·운영한 채널의 개설자 지위, 로그인 권한, 관리자 권한, 채널명·핸들, 수익화 계정 연결권 및 운영권은 회사에 귀속한다.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위약벌·미회수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위약벌</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② 위약벌은 계약 이행과 전속의무를 확보하기 위한 제재로서, 계약기간 중 발생한 배분대상 총매출의 15%로 한다.</w:t>
      </w:r>
    </w:p>
    <w:p>
      <w:r>
        <w:rPr>
          <w:rFonts w:ascii="Calibri" w:hAnsi="Calibri" w:eastAsia="Malgun Gothic"/>
          <w:b w:val="0"/>
        </w:rPr>
        <w:t>③ 미회수 재투자금 반환액은 해지일 현재 미회수 재투자금에 잔여 계약기간을 전체 계약기간으로 나눈 비율을 곱한 금액으로 한다. 기간은 월 단위로 계산하며 1개월 미만은 버린다. 이 반환은 회사가 선수의 장래 활동을 전제로 집행한 투자금 중 계약 종료로 회수 기회를 잃은 금액을 정산하기 위한 것으로 위약벌과 그 목적을 달리한다.</w:t>
      </w:r>
    </w:p>
    <w:p>
      <w:r>
        <w:rPr>
          <w:rFonts w:ascii="Calibri" w:hAnsi="Calibri" w:eastAsia="Malgun Gothic"/>
          <w:b w:val="0"/>
        </w:rPr>
        <w:t>④ 동일한 손해 또는 비용을 위약벌·투자금 반환·손해배상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⑥ 위약벌 또는 반환금이 관계 법령상 지나치게 과중하다고 판단되는 경우 당사자는 실제 계약이행 기간, 회사의 투자와 업무수행, 선수의 위반 정도 및 예상손해를 고려하여 조정할 수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위약벌을 부과하지 않는다.</w:t>
      </w:r>
    </w:p>
    <w:p>
      <w:r>
        <w:rPr>
          <w:rFonts w:ascii="Calibri" w:hAnsi="Calibri" w:eastAsia="Malgun Gothic"/>
          <w:b w:val="0"/>
        </w:rPr>
        <w:t>③ 회사는 미회수 재투자금을 다음 금액에서 우선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pPr>
        <w:numPr>
          <w:ilvl w:val="0"/>
          <w:numId w:val="39"/>
        </w:numPr>
      </w:pPr>
      <w:r>
        <w:rPr>
          <w:rFonts w:ascii="Calibri" w:hAnsi="Calibri" w:eastAsia="Malgun Gothic"/>
          <w:b w:val="0"/>
        </w:rPr>
        <w:t>선수에게 지급할 미정산금</w:t>
      </w:r>
    </w:p>
    <w:p>
      <w:pPr>
        <w:numPr>
          <w:ilvl w:val="0"/>
          <w:numId w:val="39"/>
        </w:numPr>
      </w:pPr>
      <w:r>
        <w:rPr>
          <w:rFonts w:ascii="Calibri" w:hAnsi="Calibri" w:eastAsia="Malgun Gothic"/>
          <w:b w:val="0"/>
        </w:rPr>
        <w:t>기타 상호 합의한 수익</w:t>
      </w:r>
    </w:p>
    <w:p>
      <w:r>
        <w:rPr>
          <w:rFonts w:ascii="Calibri" w:hAnsi="Calibri" w:eastAsia="Malgun Gothic"/>
          <w:b w:val="0"/>
        </w:rPr>
        <w:t>④ 제3항으로 회수되지 않은 금액을 선수에게 현금으로 청구할지는 부상 정도, 선수의 경제적 상황, 회사의 투자내역과 향후 회수 가능성을 고려하여 별도 합의한다.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이다. 회사는 예산과 목적을 미리 제시해 선수의 승인을 받고, 집행 내역과 증빙을 원장으로 공개한다. 다만 선수가 정당한 사유 없이 계약을 중도 해지하면, 아직 회수되지 않은 재투자금 중 남은 계약기간 비율만큼을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선수 잘못이 아닌 부상·질병으로 계약을 종료하는 경우 위약벌은 없습니다. 미회수 투자금은 기존 콘텐츠·채널 수익에서 먼저 회수합니다.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정당한 사유 없이 선수가 중도 해지하는 경우에만, 아직 회수되지 않은 재투자금 중 남은 계약기간 비율만큼을 돌려줍니다. 계약을 오래 지킬수록 반환액이 줄어들고, 회사 잘못으로 해지하는 경우에는 반환하지 않습니다. 예: 5년 계약에서 4년을 채우고 해지할 때 미회수 재투자금이 2,000만 원이면, 2,000만 원 × 남은 1년/전체 5년 = 400만 원을 돌려줍니다.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수익배분으로 회사에 귀속된 회사 몫 중 일부를 회사가 다시 투자하는 것입니다. 선수의 예치금은 아닙니다. 다만 정당한 사유 없이 중도 해지하면 회수되지 않은 금액 중 남은 계약기간 비율만큼을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위약벌과 미경과 계약금 반환의무가 발생할 수 있고, 미회수 재투자금 중 남은 계약기간 비율만큼을 돌려주어야 합니다. 예를 들어 5년 계약에서 4년을 채우고 해지할 때 미회수 재투자금이 2,000만 원이면, 2,000만 원 × 남은 1년/전체 5년 = 400만 원을 돌려줍니다.</w:t>
      </w:r>
    </w:p>
    <w:p>
      <w:pPr>
        <w:pStyle w:val="Heading2"/>
        <w:keepNext/>
      </w:pPr>
      <w:r>
        <w:t>Q34. 부상으로 뛸 수 없으면 어떻게 되나요?</w:t>
      </w:r>
    </w:p>
    <w:p>
      <w:r>
        <w:rPr>
          <w:rFonts w:ascii="Calibri" w:hAnsi="Calibri" w:eastAsia="Malgun Gothic"/>
          <w:b w:val="0"/>
        </w:rPr>
        <w:t>계약 변경·중지·종료를 협의합니다. 선수 잘못이 아닌 부상이라면 위약벌은 없습니다.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일반 배분대상 순수익은 선수 50%, 회사 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재투자금은 회사에 귀속된 돈을 회사가 다시 투자하는 구조이나, 정당한 사유 없이 중도 해지하면 미회수액 중 잔여 계약기간 비율만큼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개설·운영한 채널의 운영권은 회사에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없는 해지 시 위약벌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잘못이 아닌 부상 해지에는 위약벌이 없음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