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 xml:space="preserve">수익배분으로 회사에 귀속된 회사 몫 중 일부를 회사가 다시 투자하는 것입니다. 선수의 예치금은 아닙니다. 다만 정당한 사유 없이 중도 해지하면 회수되지 않은 금액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 xml:space="preserve">위약벌과 미경과 계약금 반환의무가 발생할 수 있고, 미회수 재투자금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합니다. 예를 들어 5년 계약에서 4년을 채우고 해지할 때 미회수 재투자금이 2,000만 원이면, 2,000만 원 × 남은 1년/전체 5년 = 400만 원을 돌려줍니다.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 xml:space="preserve">계약 변경·중지·종료를 협의합니다. 선수 잘못이 아닌 부상이라면 </w:t>
      </w:r>
      <w:r>
        <w:rPr>
          <w:rFonts w:ascii="Calibri" w:hAnsi="Calibri" w:eastAsia="Malgun Gothic"/>
          <w:b/>
          <w:color w:val="0D5F5A"/>
        </w:rPr>
        <w:t>위약벌은 없습니다.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회수되지 않은 재투자금도 선수에게 청구하거나 정산금에서 빼지 않습니다.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