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일반 배분대상 순수익은 선수 50%, 회사 50%임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기본 배분금 중 80%가 재투자됨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개설·운영한 채널의 운영권은 회사에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채널 인수에는 이전대가가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없는 해지 시 위약벌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위약벌이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