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C8A24B"/>
          <w:sz w:val="24"/>
          <w:szCs w:val="24"/>
        </w:rPr>
        <w:t xml:space="preserve">FPMC · INTERN</w:t>
      </w:r>
    </w:p>
    <w:p>
      <w:pPr>
        <w:spacing w:after="60" w:before="80"/>
      </w:pPr>
      <w:r>
        <w:rPr>
          <w:b/>
          <w:bCs/>
          <w:color w:val="1F3A5F"/>
          <w:sz w:val="52"/>
          <w:szCs w:val="52"/>
        </w:rPr>
        <w:t xml:space="preserve">Branding &amp; Rebranding</w:t>
      </w:r>
    </w:p>
    <w:p>
      <w:pPr>
        <w:spacing w:after="40"/>
      </w:pPr>
      <w:r>
        <w:rPr>
          <w:color w:val="1F3A5F"/>
          <w:sz w:val="28"/>
          <w:szCs w:val="28"/>
        </w:rPr>
        <w:t xml:space="preserve">Interner Workflow &amp; Produktions-Playbook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Von der Anfrage bis zur Übergabe — wiederholbar, sauber, vollständig gesichert</w:t>
      </w:r>
    </w:p>
    <w:p>
      <w:pPr>
        <w:pBdr>
          <w:bottom w:val="single" w:color="C8A24B" w:sz="12" w:space="6"/>
        </w:pBdr>
      </w:pPr>
      <w:r>
        <w:t xml:space="preserve"/>
      </w:r>
    </w:p>
    <w:p>
      <w:pPr>
        <w:pStyle w:val="Heading1"/>
      </w:pPr>
      <w:r>
        <w:t xml:space="preserve">1. Zweck &amp; Geltungsbereich</w:t>
      </w:r>
    </w:p>
    <w:p>
      <w:pPr>
        <w:spacing w:after="120" w:line="276"/>
      </w:pPr>
      <w:r>
        <w:t xml:space="preserve">Dieses Playbook beschreibt den verbindlichen Ablauf für jedes Branding- und Rebranding-Projekt bei FPMC. Ziel: gleichbleibend hohe Qualität, klare Zuständigkeiten und ein reibungsloser Ablauf — unabhängig davon, wer das Projekt führt.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Branding: </w:t>
      </w:r>
      <w:r>
        <w:t xml:space="preserve">Aufbau einer komplett neuen Markenidentität (neuer Kunde, neue Marke, kein bestehendes System).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Rebranding: </w:t>
      </w:r>
      <w:r>
        <w:t xml:space="preserve">Überarbeitung einer bestehenden Marke — mit Erhalt der wertvollen Markenequity und sauberer Migration.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Grundregel:  </w:t>
      </w:r>
      <w:r>
        <w:rPr>
          <w:i/>
          <w:iCs/>
        </w:rPr>
        <w:t xml:space="preserve">Kein Schritt ohne Datensicherung. Jedes Quellmaterial, jeder Zwischenstand und jede alte Live-Seite wird vor Veränderung gesichert (Details siehe Website-Workflow &amp; Datensicherung).</w:t>
      </w:r>
    </w:p>
    <w:p>
      <w:pPr>
        <w:pStyle w:val="Heading1"/>
      </w:pPr>
      <w:r>
        <w:t xml:space="preserve">2. Rollen &amp; Verantwortlichkeiten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Rolle</w:t>
            </w:r>
          </w:p>
        </w:tc>
        <w:tc>
          <w:tcPr>
            <w:tcW w:type="dxa" w:w="676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Verantwortung im (Re)Branding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Producer (Hazem)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Gesamtverantwortung, Kundenfreigaben, Budget, Vertragsschnittstelle, finale Abnahme.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Creative Director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Markenstrategie, visuelle Identität, kreative Qualität, Guidelines, Freigabe Design.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 /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Projektsteuerung, Timeline, Dateistruktur &amp; Datensicherung, Kundenkommunikation, QA.</w:t>
            </w:r>
          </w:p>
        </w:tc>
      </w:tr>
    </w:tbl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Vier-Augen-Prinzip:  </w:t>
      </w:r>
      <w:r>
        <w:rPr>
          <w:i/>
          <w:iCs/>
        </w:rPr>
        <w:t xml:space="preserve">Jeder Meilenstein wird von mindestens zwei Rollen freigegeben, bevor es weitergeht. Keine Live-Schaltung ohne EP-Freigabe.</w:t>
      </w:r>
    </w:p>
    <w:p>
      <w:r>
        <w:br w:type="page"/>
      </w:r>
    </w:p>
    <w:p>
      <w:pPr>
        <w:pStyle w:val="Heading1"/>
      </w:pPr>
      <w:r>
        <w:t xml:space="preserve">3. Das Phasenmodell</w:t>
      </w:r>
    </w:p>
    <w:p>
      <w:pPr>
        <w:spacing w:after="120" w:line="276"/>
      </w:pPr>
      <w:r>
        <w:t xml:space="preserve">Sieben Phasen, jede mit klarem Ziel, Output und Datensicherung. Erst wenn der Output freigegeben und gesichert ist, beginnt die nächste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Ziel</w:t>
            </w:r>
          </w:p>
        </w:tc>
        <w:tc>
          <w:tcPr>
            <w:tcW w:type="dxa" w:w="4660"/>
            <w:tcBorders>
              <w:top w:val="single" w:color="1F3A5F" w:sz="1"/>
              <w:left w:val="single" w:color="1F3A5F" w:sz="1"/>
              <w:bottom w:val="single" w:color="1F3A5F" w:sz="1"/>
              <w:right w:val="single" w:color="1F3A5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/ 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· Setup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Projekt aufsetzen, Material sichern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Kundenordner, Zugänge, gesichertes Quellmaterial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· Discovery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 verstehen / auditieren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Briefing, Brand-Audit, Wettbewerbs-Scan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· Strategie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Positionierung festlegen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Markenkern, Tonalität, Positionierungs-Statement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· Identität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Visuelles System gestalten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Logo, Farben, Typografie, Bild- &amp; Motion-Sprache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·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 dokumentieren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Guidelines, Asset-Bibliothek, 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· Anwendung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 ausrollen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Website, Social, KI-Agent-Persona, 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· Übergabe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&amp; Freigabe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Abnahme, Handover-Paket, Schlussbackup</w:t>
            </w:r>
          </w:p>
        </w:tc>
      </w:tr>
    </w:tbl>
    <w:p>
      <w:pPr>
        <w:pStyle w:val="Heading2"/>
      </w:pPr>
      <w:r>
        <w:t xml:space="preserve">Phase 0 — Setup &amp; Datensicherung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Kundenordner nach Namenskonvention anlegen (siehe Abschnitt 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Alle Zugänge des Kunden sicher erfassen (Passwort-Manager, niemals im Klartext / niemals im Repo).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Bei Rebranding: vollständiges Backup der bestehenden Marke &amp; Live-Seite (Logos, Fotos, Code, Datenbank, Screenshots) anlegen — 30 Tage aufbewahren.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Output: </w:t>
      </w:r>
      <w:r>
        <w:t xml:space="preserve">Eingerichteter Projektordner, gesichertes Quellmaterial, dokumentierte Zugänge.</w:t>
      </w:r>
    </w:p>
    <w:p>
      <w:pPr>
        <w:pStyle w:val="Heading2"/>
      </w:pPr>
      <w:r>
        <w:t xml:space="preserve">Phase 1 — Discovery &amp; Brand-Audit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Kunden-Briefing per strukturiertem Fragebogen (Ziele, Zielgruppe, Werte, Wettbewerb, Gefällt-mir/Gefällt-mir-nicht).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Bei Rebranding zusätzlich: Audit der bestehenden Marke — was funktioniert (behalten = Markenequity), was nicht, warum der Wechsel.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Wettbewerbs-Scan: 3–5 Mitbewerber visuell und sprachlich einordnen → Lücke finden.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Output: </w:t>
      </w:r>
      <w:r>
        <w:t xml:space="preserve">Briefing-Dokument, Audit-Notiz, Wettbewerbs-Übersicht. → Sichern.</w:t>
      </w:r>
    </w:p>
    <w:p>
      <w:pPr>
        <w:pStyle w:val="Heading2"/>
      </w:pPr>
      <w:r>
        <w:t xml:space="preserve">Phase 2 — Markenstrategie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Markenkern definieren: Mission, Werte, Markenpersönlichkeit (3–5 Adjektive).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Positionierungs-Statement: Für [Zielgruppe], die [Bedürfnis], ist [Marke] die [Kategorie], die [Differenzierung].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Tonalität / Markenstimme festlegen (gilt auch für Website-Copy UND den KI-Agenten).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Output: </w:t>
      </w:r>
      <w:r>
        <w:t xml:space="preserve">Strategie-One-Pager, freigegeben durch Creative Director + EP. → Sichern.</w:t>
      </w:r>
    </w:p>
    <w:p>
      <w:pPr>
        <w:pStyle w:val="Heading2"/>
      </w:pPr>
      <w:r>
        <w:t xml:space="preserve">Phase 3 — Visuelle Identität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Logo: Haupt-, Sekundär- und Icon-Variante; Schutzraum &amp; Mindestgröße.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Farbpalette: Primär-/Sekundärfarben als Tokens (HEX) — bei Bedarf aus Logo/Bildern extrahiert (z. B. Vorgehen wie bei Bosporus: #F06020 / #C0C0C0).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Typografie: Display- &amp; Fließtext-Schrift, Größenskala. Free-Alternativen sauber wählen (z. B. Cinzel für Serif-Versalien, Pinyon Script für Spencerian-Akzente).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Bild- &amp; Motion-Sprache: Fotostil, KI-Bild-Direktion, Higgsfield-Motion-Loops als Bewegtbild-Signatur.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Output: </w:t>
      </w:r>
      <w:r>
        <w:t xml:space="preserve">Visuelles Identitätspaket (Logo-Dateien, Farb-Tokens, Type-Scale, Moodboard). → Sichern &amp; versionieren.</w:t>
      </w:r>
    </w:p>
    <w:p>
      <w:pPr>
        <w:pStyle w:val="Heading2"/>
      </w:pPr>
      <w:r>
        <w:t xml:space="preserve">Phase 4 — Marken-System &amp; Guidelines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Brand Guidelines erstellen: Logo-Nutzung, Farben, Typo, Bildsprache, Tonalität, Do's &amp; Don'ts.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Asset-Bibliothek strukturieren (alle Formate, exportfertig).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Output: </w:t>
      </w:r>
      <w:r>
        <w:t xml:space="preserve">Brand-Guidelines-Dokument + geordnete Asset-Bibliothek. → Sichern.</w:t>
      </w:r>
    </w:p>
    <w:p>
      <w:pPr>
        <w:pStyle w:val="Heading2"/>
      </w:pPr>
      <w:r>
        <w:t xml:space="preserve">Phase 5 — Anwendung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Website nach Brand-System bauen (Übergabe an Website-Workflow &amp; Master-Prompts).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Social-Templates, Print (Visitenkarte, Beschilderung) nach Bedarf.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KI-Agent-Persona: </w:t>
      </w:r>
      <w:r>
        <w:t xml:space="preserve">Der Agent spricht in der Markenstimme — Name, Tonfall, Grenzen, Sprachen aus der Strategie ableiten.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Output: </w:t>
      </w:r>
      <w:r>
        <w:t xml:space="preserve">Live-fähige Anwendungen, intern QA-geprüft. → Sichern.</w:t>
      </w:r>
    </w:p>
    <w:p>
      <w:pPr>
        <w:pStyle w:val="Heading2"/>
      </w:pPr>
      <w:r>
        <w:t xml:space="preserve">Phase 6 — Übergabe, QA &amp; Freigabe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QA-Checkliste durchgehen (Konsistenz, Rechtschreibung, Links, Ladezeit, mobile Ansicht, Agent-Antworten).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Kundenabnahme dokumentieren (schriftliche Freigabe).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Handover-Paket übergeben: Guidelines, Asset-Bibliothek, Zugänge, Kurz-Anleitung.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Schlussbackup aller finalen Dateien anlegen und als „Final“ markieren.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Definition of Done: </w:t>
      </w:r>
      <w:r>
        <w:t xml:space="preserve">Freigabe erteilt, alle Assets gesichert, Handover übergeben, Schlussbackup vorhanden.</w:t>
      </w:r>
    </w:p>
    <w:p>
      <w:r>
        <w:br w:type="page"/>
      </w:r>
    </w:p>
    <w:p>
      <w:pPr>
        <w:pStyle w:val="Heading1"/>
      </w:pPr>
      <w:r>
        <w:t xml:space="preserve">4. Rebranding-Spezial: Migration ohne Reibung</w:t>
      </w:r>
    </w:p>
    <w:p>
      <w:pPr>
        <w:spacing w:after="120" w:line="276"/>
      </w:pPr>
      <w:r>
        <w:t xml:space="preserve">Rebranding ist riskanter als Branding, weil Bestehendes verändert wird. Diese Regeln verhindern Datenverlust und Sichtbarkeitseinbrüche: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Markenequity sichern: </w:t>
      </w:r>
      <w:r>
        <w:t xml:space="preserve">Im Audit festlegen, was bleibt (bekannte Farbe, Bildmarke, Claim). Nicht alles über Bord werfen — Wiedererkennung erhalten.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Vollbackup zuerst: </w:t>
      </w:r>
      <w:r>
        <w:t xml:space="preserve">Vor jeder Änderung die alte Seite komplett sichern (Code, Datenbank, Medien, Screenshots aller Seiten).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SEO erhalten: </w:t>
      </w:r>
      <w:r>
        <w:t xml:space="preserve">URL-Struktur dokumentieren, 301-Weiterleitungen für geänderte URLs einplanen, Meta-Daten migrieren.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Phasenweiser Rollout: </w:t>
      </w:r>
      <w:r>
        <w:t xml:space="preserve">Möglichst auf Staging testen, dann live — nicht stückweise inkonsistent.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Kommunikation: </w:t>
      </w:r>
      <w:r>
        <w:t xml:space="preserve">Den Markenwechsel aktiv erklären (Website-Hinweis, Social-Post) — Kunden sollen die neue Marke wiedererkennen.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Rollback-Plan:  </w:t>
      </w:r>
      <w:r>
        <w:rPr>
          <w:i/>
          <w:iCs/>
        </w:rPr>
        <w:t xml:space="preserve">Vor dem Go-Live steht fest, wie im Fehlerfall innerhalb von Minuten auf die gesicherte alte Version zurückgesetzt wird.</w:t>
      </w:r>
    </w:p>
    <w:p>
      <w:pPr>
        <w:pStyle w:val="Heading1"/>
      </w:pPr>
      <w:r>
        <w:t xml:space="preserve">5. Datensicherung pro Phase (Kurz-Checkliste)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0: Quellmaterial + alte Live-Seite gesichert?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Jede Phase: Output gesichert &amp; versioniert, bevor es weitergeht?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Zugänge im Passwort-Manager, nicht im Projektordner im Klartext?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Rebrand: Vollbackup + Rollback-Plan vorhanden?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6: Schlussbackup angelegt und als „Final“ markiert?</w:t>
      </w:r>
    </w:p>
    <w:p>
      <w:pPr>
        <w:pBdr>
          <w:left w:val="single" w:color="C8A24B" w:sz="18" w:space="6"/>
        </w:pBdr>
        <w:shd w:fill="EDF1F6" w:val="clear"/>
        <w:spacing w:after="200" w:before="80"/>
      </w:pPr>
      <w:r>
        <w:rPr>
          <w:b/>
          <w:bCs/>
          <w:color w:val="1F3A5F"/>
        </w:rPr>
        <w:t xml:space="preserve">Merksatz:  </w:t>
      </w:r>
      <w:r>
        <w:rPr>
          <w:i/>
          <w:iCs/>
        </w:rPr>
        <w:t xml:space="preserve">„Was nicht an zwei getrennten Orten liegt, existiert nicht.“ Details &amp; 3-2-1-Regel im Website-Workflow-Dokument.</w:t>
      </w:r>
    </w:p>
    <w:p>
      <w:pPr>
        <w:pStyle w:val="Heading1"/>
      </w:pPr>
      <w:r>
        <w:t xml:space="preserve">6. Qualitätskriterien (Definition of Done)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Konsistenz: Logo, Farben, Typo, Tonalität über alle Kanäle identisch.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Premium-Anmutung: hebt sichtbar vom Wettbewerb ab.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Anwendbar: Guidelines so klar, dass auch Dritte sie korrekt umsetzen können.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KI-Agent spricht erkennbar in der Markenstimme.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Alle Daten gesichert, Handover vollständig, Freigabe schriftlich.</w:t>
      </w:r>
    </w:p>
    <w:p>
      <w:pPr>
        <w:pStyle w:val="Heading1"/>
      </w:pPr>
      <w:r>
        <w:t xml:space="preserve">7. Tools, Dateistruktur &amp; Namenskonventionen</w:t>
      </w:r>
    </w:p>
    <w:p>
      <w:pPr>
        <w:pStyle w:val="Heading3"/>
      </w:pPr>
      <w:r>
        <w:t xml:space="preserve">Standard-Ordnerstruktur pro Kunde</w:t>
      </w:r>
    </w:p>
    <w:p>
      <w:pPr>
        <w:pBdr>
          <w:left w:val="single" w:color="C8A24B" w:sz="14" w:space="6"/>
        </w:pBdr>
        <w:shd w:fill="F2F2F2" w:val="clear"/>
        <w:spacing w:after="0" w:before="6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/Kunden/[ID]_[Name]/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00_Intake/        Briefing, Vertraege, Zugaenge (Verweis)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01_Quellmaterial/ Logos, Fotos, Originaldateien des Kunden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02_Marke/         Logo-Varianten, Farb-Tokens, Guidelines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03_Web/           Code-Repo (Verweis), config.json, Daten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04_Media/         Renderings, Higgsfield-Outputs, Videos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05_Agent/         System-Prompt, Wissensbasis</w:t>
      </w:r>
    </w:p>
    <w:p>
      <w:pPr>
        <w:pBdr>
          <w:left w:val="single" w:color="C8A24B" w:sz="14" w:space="6"/>
        </w:pBdr>
        <w:shd w:fill="F2F2F2" w:val="clear"/>
        <w:spacing w:after="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06_Backups/       Snapshots, Export der alten Seite (Rebrand)</w:t>
      </w:r>
    </w:p>
    <w:p>
      <w:pPr>
        <w:pBdr>
          <w:left w:val="single" w:color="C8A24B" w:sz="14" w:space="6"/>
        </w:pBdr>
        <w:shd w:fill="F2F2F2" w:val="clear"/>
        <w:spacing w:after="160" w:before="0" w:line="252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99_Final/         Freigegebene 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Werkzeuge: </w:t>
      </w:r>
      <w:r>
        <w:t xml:space="preserve">Claude Code (Build &amp; Automatisierung), Higgsfield (Bild/Motion), Git (Code-Versionierung), Passwort-Manager (Zugänge), Cloud mit Versionierung (Assets).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A5F"/>
        </w:rPr>
        <w:t xml:space="preserve">Namenskonvention: </w:t>
      </w:r>
      <w:r>
        <w:t xml:space="preserve">[KundenID]_[Bereich]_[Beschreibung]_v[Nr] — z. B. BOSP_Logo_primaer_v3.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55555"/>
        <w:sz w:val="16"/>
        <w:szCs w:val="16"/>
      </w:rPr>
      <w:t xml:space="preserve">Vertraulich · nur für den internen Gebrauch</w:t>
    </w:r>
    <w:r>
      <w:rPr>
        <w:color w:val="555555"/>
        <w:sz w:val="16"/>
        <w:szCs w:val="16"/>
      </w:rPr>
      <w:t xml:space="preserve">	Seite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0"/>
      <w:jc w:val="right"/>
    </w:pPr>
    <w:r>
      <w:rPr>
        <w:color w:val="555555"/>
        <w:sz w:val="16"/>
        <w:szCs w:val="16"/>
      </w:rPr>
      <w:t xml:space="preserve">FPMC · Branding &amp; Rebranding (Intern)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24B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C8A2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2026-06-23T09:42:09.355Z</dcterms:created>
  <dcterms:modified xsi:type="dcterms:W3CDTF">2026-06-23T09:42:09.355Z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