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build-signal-layer-to-win-the-hackathon"/>
    <w:p>
      <w:pPr>
        <w:pStyle w:val="Heading1"/>
      </w:pPr>
      <w:r>
        <w:t xml:space="preserve">Build Signal Layer to Win the Hackathon</w:t>
      </w:r>
    </w:p>
    <w:bookmarkStart w:id="22" w:name="the-winning-idea"/>
    <w:p>
      <w:pPr>
        <w:pStyle w:val="Heading2"/>
      </w:pPr>
      <w:r>
        <w:t xml:space="preserve">The winning idea</w:t>
      </w:r>
    </w:p>
    <w:p>
      <w:pPr>
        <w:pStyle w:val="FirstParagraph"/>
      </w:pPr>
      <w:r>
        <w:t xml:space="preserve">The strongest route is</w:t>
      </w:r>
      <w:r>
        <w:t xml:space="preserve"> </w:t>
      </w:r>
      <w:r>
        <w:rPr>
          <w:b/>
          <w:bCs/>
        </w:rPr>
        <w:t xml:space="preserve">not</w:t>
      </w:r>
      <w:r>
        <w:t xml:space="preserve"> </w:t>
      </w:r>
      <w:r>
        <w:t xml:space="preserve">to build another career chatbot. The brief asks for an</w:t>
      </w:r>
      <w:r>
        <w:t xml:space="preserve"> </w:t>
      </w:r>
      <w:r>
        <w:rPr>
          <w:b/>
          <w:bCs/>
        </w:rPr>
        <w:t xml:space="preserve">open, localisable infrastructure layer</w:t>
      </w:r>
      <w:r>
        <w:t xml:space="preserve"> </w:t>
      </w:r>
      <w:r>
        <w:t xml:space="preserve">that can be configured by governments, NGOs, training providers, and employers; it must be country-agnostic, work in low-bandwidth and shared-device conditions, and visibly surface real econometric signals rather than hiding them inside a black box. It also expects at least two of the three core modules: portable skills signalling, an AI-readiness and displacement lens, and opportunity matching with a policymaker dashboard. fileciteturn0file0</w:t>
      </w:r>
    </w:p>
    <w:p>
      <w:pPr>
        <w:pStyle w:val="BodyText"/>
      </w:pPr>
      <w:r>
        <w:t xml:space="preserve">So the thing I would build is</w:t>
      </w:r>
      <w:r>
        <w:t xml:space="preserve"> </w:t>
      </w:r>
      <w:r>
        <w:rPr>
          <w:b/>
          <w:bCs/>
        </w:rPr>
        <w:t xml:space="preserve">Signal Layer</w:t>
      </w:r>
      <w:r>
        <w:t xml:space="preserve">: a</w:t>
      </w:r>
      <w:r>
        <w:t xml:space="preserve"> </w:t>
      </w:r>
      <w:r>
        <w:rPr>
          <w:b/>
          <w:bCs/>
        </w:rPr>
        <w:t xml:space="preserve">country-pack-driven skills compiler</w:t>
      </w:r>
      <w:r>
        <w:t xml:space="preserve"> </w:t>
      </w:r>
      <w:r>
        <w:t xml:space="preserve">with an open API and one polished reference app. It would take messy real-world evidence — self-reported experience, informal work history, mini-assessments, portfolio photos, or a navigator interview — and compile that into a</w:t>
      </w:r>
      <w:r>
        <w:t xml:space="preserve"> </w:t>
      </w:r>
      <w:r>
        <w:rPr>
          <w:b/>
          <w:bCs/>
        </w:rPr>
        <w:t xml:space="preserve">portable, human-readable skills passport</w:t>
      </w:r>
      <w:r>
        <w:t xml:space="preserve">, then run two more services over it: an</w:t>
      </w:r>
      <w:r>
        <w:t xml:space="preserve"> </w:t>
      </w:r>
      <w:r>
        <w:rPr>
          <w:b/>
          <w:bCs/>
        </w:rPr>
        <w:t xml:space="preserve">LMIC-calibrated AI Readiness &amp; Displacement Lens</w:t>
      </w:r>
      <w:r>
        <w:t xml:space="preserve"> </w:t>
      </w:r>
      <w:r>
        <w:t xml:space="preserve">and an</w:t>
      </w:r>
      <w:r>
        <w:t xml:space="preserve"> </w:t>
      </w:r>
      <w:r>
        <w:rPr>
          <w:b/>
          <w:bCs/>
        </w:rPr>
        <w:t xml:space="preserve">Opportunity Graph</w:t>
      </w:r>
      <w:r>
        <w:t xml:space="preserve"> </w:t>
      </w:r>
      <w:r>
        <w:t xml:space="preserve">that only shows</w:t>
      </w:r>
      <w:r>
        <w:t xml:space="preserve"> </w:t>
      </w:r>
      <w:r>
        <w:rPr>
          <w:b/>
          <w:bCs/>
        </w:rPr>
        <w:t xml:space="preserve">reachable</w:t>
      </w:r>
      <w:r>
        <w:t xml:space="preserve"> </w:t>
      </w:r>
      <w:r>
        <w:t xml:space="preserve">jobs, apprenticeships, self-employment pathways, and training options. That framing fits the summit’s 2026 theme of jobs, education and skills, and entrepreneurship far better than a generic “AI mentor” product.</w:t>
      </w:r>
      <w:r>
        <w:t xml:space="preserve"> </w:t>
      </w:r>
      <w:hyperlink r:id="rId21">
        <w:r>
          <w:rPr>
            <w:rStyle w:val="Hyperlink"/>
          </w:rPr>
          <w:t xml:space="preserve">[1]</w:t>
        </w:r>
      </w:hyperlink>
    </w:p>
    <w:p>
      <w:pPr>
        <w:pStyle w:val="BodyText"/>
      </w:pPr>
      <w:r>
        <w:t xml:space="preserve">This is the sharpest angle against the judging criteria. It is creative because it is a</w:t>
      </w:r>
      <w:r>
        <w:t xml:space="preserve"> </w:t>
      </w:r>
      <w:r>
        <w:rPr>
          <w:b/>
          <w:bCs/>
        </w:rPr>
        <w:t xml:space="preserve">compiler and protocol</w:t>
      </w:r>
      <w:r>
        <w:t xml:space="preserve">, not just an app. It has technical depth because the impressive thing is the data architecture, the country-pack abstraction, the explainability layer, and the APIs. And it presents well because the demo can start with a single person, end with a policy dashboard, and prove country reconfiguration live in front of the jury. The brief itself warns against generic youth personas, beautiful dashboards that say nothing new, and overengineering the stack while underengineering the user experience. fileciteturn0file0</w:t>
      </w:r>
    </w:p>
    <w:bookmarkEnd w:id="22"/>
    <w:bookmarkStart w:id="30" w:name="the-product-and-the-protocol"/>
    <w:p>
      <w:pPr>
        <w:pStyle w:val="Heading2"/>
      </w:pPr>
      <w:r>
        <w:t xml:space="preserve">The product and the protocol</w:t>
      </w:r>
    </w:p>
    <w:p>
      <w:pPr>
        <w:pStyle w:val="FirstParagraph"/>
      </w:pPr>
      <w:r>
        <w:t xml:space="preserve">Signal Layer should have</w:t>
      </w:r>
      <w:r>
        <w:t xml:space="preserve"> </w:t>
      </w:r>
      <w:r>
        <w:rPr>
          <w:b/>
          <w:bCs/>
        </w:rPr>
        <w:t xml:space="preserve">four visible surfaces</w:t>
      </w:r>
      <w:r>
        <w:t xml:space="preserve">, but only</w:t>
      </w:r>
      <w:r>
        <w:t xml:space="preserve"> </w:t>
      </w:r>
      <w:r>
        <w:rPr>
          <w:b/>
          <w:bCs/>
        </w:rPr>
        <w:t xml:space="preserve">one core engine</w:t>
      </w:r>
      <w:r>
        <w:t xml:space="preserve">.</w:t>
      </w:r>
    </w:p>
    <w:p>
      <w:pPr>
        <w:pStyle w:val="Compact"/>
        <w:numPr>
          <w:ilvl w:val="0"/>
          <w:numId w:val="1001"/>
        </w:numPr>
      </w:pPr>
      <w:r>
        <w:t xml:space="preserve">A</w:t>
      </w:r>
      <w:r>
        <w:t xml:space="preserve"> </w:t>
      </w:r>
      <w:r>
        <w:rPr>
          <w:b/>
          <w:bCs/>
        </w:rPr>
        <w:t xml:space="preserve">youth PWA</w:t>
      </w:r>
      <w:r>
        <w:t xml:space="preserve"> </w:t>
      </w:r>
      <w:r>
        <w:t xml:space="preserve">for profile creation, skills ownership, and opportunity discovery.</w:t>
      </w:r>
    </w:p>
    <w:p>
      <w:pPr>
        <w:pStyle w:val="Compact"/>
        <w:numPr>
          <w:ilvl w:val="0"/>
          <w:numId w:val="1001"/>
        </w:numPr>
      </w:pPr>
      <w:r>
        <w:t xml:space="preserve">A</w:t>
      </w:r>
      <w:r>
        <w:t xml:space="preserve"> </w:t>
      </w:r>
      <w:r>
        <w:rPr>
          <w:b/>
          <w:bCs/>
        </w:rPr>
        <w:t xml:space="preserve">community navigator mode</w:t>
      </w:r>
      <w:r>
        <w:t xml:space="preserve"> </w:t>
      </w:r>
      <w:r>
        <w:t xml:space="preserve">for NGOs, schools, and job centres using shared devices.</w:t>
      </w:r>
    </w:p>
    <w:p>
      <w:pPr>
        <w:pStyle w:val="Compact"/>
        <w:numPr>
          <w:ilvl w:val="0"/>
          <w:numId w:val="1001"/>
        </w:numPr>
      </w:pPr>
      <w:r>
        <w:t xml:space="preserve">A</w:t>
      </w:r>
      <w:r>
        <w:t xml:space="preserve"> </w:t>
      </w:r>
      <w:r>
        <w:rPr>
          <w:b/>
          <w:bCs/>
        </w:rPr>
        <w:t xml:space="preserve">verifier page</w:t>
      </w:r>
      <w:r>
        <w:t xml:space="preserve"> </w:t>
      </w:r>
      <w:r>
        <w:t xml:space="preserve">for employers or training providers to inspect a signed skills passport.</w:t>
      </w:r>
    </w:p>
    <w:p>
      <w:pPr>
        <w:pStyle w:val="Compact"/>
        <w:numPr>
          <w:ilvl w:val="0"/>
          <w:numId w:val="1001"/>
        </w:numPr>
      </w:pPr>
      <w:r>
        <w:t xml:space="preserve">A</w:t>
      </w:r>
      <w:r>
        <w:t xml:space="preserve"> </w:t>
      </w:r>
      <w:r>
        <w:rPr>
          <w:b/>
          <w:bCs/>
        </w:rPr>
        <w:t xml:space="preserve">policy dashboard</w:t>
      </w:r>
      <w:r>
        <w:t xml:space="preserve"> </w:t>
      </w:r>
      <w:r>
        <w:t xml:space="preserve">that only shows anonymised aggregate signals.</w:t>
      </w:r>
    </w:p>
    <w:p>
      <w:pPr>
        <w:pStyle w:val="FirstParagraph"/>
      </w:pPr>
      <w:r>
        <w:t xml:space="preserve">Underneath that, the protocol should expose four primitives:</w:t>
      </w:r>
    </w:p>
    <w:p>
      <w:pPr>
        <w:pStyle w:val="Compact"/>
        <w:numPr>
          <w:ilvl w:val="0"/>
          <w:numId w:val="1002"/>
        </w:numPr>
      </w:pPr>
      <w:r>
        <w:rPr>
          <w:b/>
          <w:bCs/>
        </w:rPr>
        <w:t xml:space="preserve">Passport API</w:t>
      </w:r>
      <w:r>
        <w:t xml:space="preserve"> </w:t>
      </w:r>
      <w:r>
        <w:t xml:space="preserve">— turns evidence into portable skill profiles.</w:t>
      </w:r>
    </w:p>
    <w:p>
      <w:pPr>
        <w:pStyle w:val="Compact"/>
        <w:numPr>
          <w:ilvl w:val="0"/>
          <w:numId w:val="1002"/>
        </w:numPr>
      </w:pPr>
      <w:r>
        <w:rPr>
          <w:b/>
          <w:bCs/>
        </w:rPr>
        <w:t xml:space="preserve">Risk Lens API</w:t>
      </w:r>
      <w:r>
        <w:t xml:space="preserve"> </w:t>
      </w:r>
      <w:r>
        <w:t xml:space="preserve">— estimates near-term displacement risk and resilience.</w:t>
      </w:r>
    </w:p>
    <w:p>
      <w:pPr>
        <w:pStyle w:val="Compact"/>
        <w:numPr>
          <w:ilvl w:val="0"/>
          <w:numId w:val="1002"/>
        </w:numPr>
      </w:pPr>
      <w:r>
        <w:rPr>
          <w:b/>
          <w:bCs/>
        </w:rPr>
        <w:t xml:space="preserve">Opportunity Graph API</w:t>
      </w:r>
      <w:r>
        <w:t xml:space="preserve"> </w:t>
      </w:r>
      <w:r>
        <w:t xml:space="preserve">— ranks reachable options with visible econometric signals.</w:t>
      </w:r>
    </w:p>
    <w:p>
      <w:pPr>
        <w:pStyle w:val="Compact"/>
        <w:numPr>
          <w:ilvl w:val="0"/>
          <w:numId w:val="1002"/>
        </w:numPr>
      </w:pPr>
      <w:r>
        <w:rPr>
          <w:b/>
          <w:bCs/>
        </w:rPr>
        <w:t xml:space="preserve">Country Pack Spec</w:t>
      </w:r>
      <w:r>
        <w:t xml:space="preserve"> </w:t>
      </w:r>
      <w:r>
        <w:t xml:space="preserve">— swaps labour data, education taxonomies, language, scripts, and risk calibration without code changes.</w:t>
      </w:r>
    </w:p>
    <w:p>
      <w:pPr>
        <w:pStyle w:val="FirstParagraph"/>
      </w:pPr>
      <w:r>
        <w:t xml:space="preserve">That is exactly the “protocol, not product” move the brief is asking for. The product is simply the first reference implementation of the protocol. fileciteturn0file0</w:t>
      </w:r>
    </w:p>
    <w:p>
      <w:pPr>
        <w:pStyle w:val="BodyText"/>
      </w:pPr>
      <w:r>
        <w:t xml:space="preserve">The key user experience should revolve around one strong narrative. Start with the brief’s Amara archetype — a 22-year-old phone-repair entrepreneur outside Accra</w:t>
      </w:r>
      <w:hyperlink r:id="rId23">
        <w:r>
          <w:rPr>
            <w:rStyle w:val="Hyperlink"/>
          </w:rPr>
          <w:t xml:space="preserve">[2]</w:t>
        </w:r>
      </w:hyperlink>
      <w:r>
        <w:t xml:space="preserve"> </w:t>
      </w:r>
      <w:r>
        <w:t xml:space="preserve">whose skills are real but not formally legible — and show how Signal Layer turns her practical work into a passport she can understand and own. Then show the passport powering an honest risk lens and three reachable next steps, each with visible wage and sector signals. That is much more memorable than a dashboard-first demo. fileciteturn0file0</w:t>
      </w:r>
    </w:p>
    <w:p>
      <w:pPr>
        <w:pStyle w:val="BodyText"/>
      </w:pPr>
      <w:r>
        <w:t xml:space="preserve">A country pack should look conceptually like this:</w:t>
      </w:r>
    </w:p>
    <w:p>
      <w:pPr>
        <w:pStyle w:val="SourceCode"/>
      </w:pPr>
      <w:r>
        <w:rPr>
          <w:rStyle w:val="VerbatimChar"/>
        </w:rPr>
        <w:t xml:space="preserve">country_pack:</w:t>
      </w:r>
      <w:r>
        <w:br/>
      </w:r>
      <w:r>
        <w:rPr>
          <w:rStyle w:val="VerbatimChar"/>
        </w:rPr>
        <w:t xml:space="preserve">  id: gha-urban-informal-v1</w:t>
      </w:r>
      <w:r>
        <w:br/>
      </w:r>
      <w:r>
        <w:rPr>
          <w:rStyle w:val="VerbatimChar"/>
        </w:rPr>
        <w:t xml:space="preserve">  ui_languages: [en]</w:t>
      </w:r>
      <w:r>
        <w:br/>
      </w:r>
      <w:r>
        <w:rPr>
          <w:rStyle w:val="VerbatimChar"/>
        </w:rPr>
        <w:t xml:space="preserve">  education_mapping: local_to_isced_v1</w:t>
      </w:r>
      <w:r>
        <w:br/>
      </w:r>
      <w:r>
        <w:rPr>
          <w:rStyle w:val="VerbatimChar"/>
        </w:rPr>
        <w:t xml:space="preserve">  occupation_taxonomy: isco08</w:t>
      </w:r>
      <w:r>
        <w:br/>
      </w:r>
      <w:r>
        <w:rPr>
          <w:rStyle w:val="VerbatimChar"/>
        </w:rPr>
        <w:t xml:space="preserve">  skills_taxonomy: esco</w:t>
      </w:r>
      <w:r>
        <w:br/>
      </w:r>
      <w:r>
        <w:rPr>
          <w:rStyle w:val="VerbatimChar"/>
        </w:rPr>
        <w:t xml:space="preserve">  task_enrichment: onet</w:t>
      </w:r>
      <w:r>
        <w:br/>
      </w:r>
      <w:r>
        <w:rPr>
          <w:rStyle w:val="VerbatimChar"/>
        </w:rPr>
        <w:t xml:space="preserve">  labour_signals:</w:t>
      </w:r>
      <w:r>
        <w:br/>
      </w:r>
      <w:r>
        <w:rPr>
          <w:rStyle w:val="VerbatimChar"/>
        </w:rPr>
        <w:t xml:space="preserve">    wages: ilostat_cond</w:t>
      </w:r>
      <w:r>
        <w:br/>
      </w:r>
      <w:r>
        <w:rPr>
          <w:rStyle w:val="VerbatimChar"/>
        </w:rPr>
        <w:t xml:space="preserve">    employment: ilostat_lfs</w:t>
      </w:r>
      <w:r>
        <w:br/>
      </w:r>
      <w:r>
        <w:rPr>
          <w:rStyle w:val="VerbatimChar"/>
        </w:rPr>
        <w:t xml:space="preserve">    jobs: join</w:t>
      </w:r>
      <w:r>
        <w:br/>
      </w:r>
      <w:r>
        <w:rPr>
          <w:rStyle w:val="VerbatimChar"/>
        </w:rPr>
        <w:t xml:space="preserve">    macro: wdi_hci</w:t>
      </w:r>
      <w:r>
        <w:br/>
      </w:r>
      <w:r>
        <w:rPr>
          <w:rStyle w:val="VerbatimChar"/>
        </w:rPr>
        <w:t xml:space="preserve">  readiness:</w:t>
      </w:r>
      <w:r>
        <w:br/>
      </w:r>
      <w:r>
        <w:rPr>
          <w:rStyle w:val="VerbatimChar"/>
        </w:rPr>
        <w:t xml:space="preserve">    genai_exposure: ilo_genai_2025</w:t>
      </w:r>
      <w:r>
        <w:br/>
      </w:r>
      <w:r>
        <w:rPr>
          <w:rStyle w:val="VerbatimChar"/>
        </w:rPr>
        <w:t xml:space="preserve">    legacy_automation: frey_osborne_2013</w:t>
      </w:r>
      <w:r>
        <w:br/>
      </w:r>
      <w:r>
        <w:rPr>
          <w:rStyle w:val="VerbatimChar"/>
        </w:rPr>
        <w:t xml:space="preserve">    digital_access: [itu, global_findex, wdi_electricity]</w:t>
      </w:r>
      <w:r>
        <w:br/>
      </w:r>
      <w:r>
        <w:rPr>
          <w:rStyle w:val="VerbatimChar"/>
        </w:rPr>
        <w:t xml:space="preserve">    employer_constraints: [wbes, gld]</w:t>
      </w:r>
      <w:r>
        <w:br/>
      </w:r>
      <w:r>
        <w:rPr>
          <w:rStyle w:val="VerbatimChar"/>
        </w:rPr>
        <w:t xml:space="preserve">  opportunities:</w:t>
      </w:r>
      <w:r>
        <w:br/>
      </w:r>
      <w:r>
        <w:rPr>
          <w:rStyle w:val="VerbatimChar"/>
        </w:rPr>
        <w:t xml:space="preserve">    connectors: [csv, api, tavily_crawl]</w:t>
      </w:r>
      <w:r>
        <w:br/>
      </w:r>
      <w:r>
        <w:rPr>
          <w:rStyle w:val="VerbatimChar"/>
        </w:rPr>
        <w:t xml:space="preserve">  policy_overlays: [women_business_and_the_law]</w:t>
      </w:r>
    </w:p>
    <w:p>
      <w:pPr>
        <w:pStyle w:val="FirstParagraph"/>
      </w:pPr>
      <w:r>
        <w:t xml:space="preserve">That single object is what will impress the jury. It proves that the system is configurable, portable, and operationally realistic rather than hardcoded to one country or one demo path. The underlying datasets and APIs needed to make this real already exist across International Labour Organization</w:t>
      </w:r>
      <w:hyperlink r:id="rId24">
        <w:r>
          <w:rPr>
            <w:rStyle w:val="Hyperlink"/>
          </w:rPr>
          <w:t xml:space="preserve">[3]</w:t>
        </w:r>
      </w:hyperlink>
      <w:r>
        <w:t xml:space="preserve">, the World Bank Group</w:t>
      </w:r>
      <w:hyperlink r:id="rId25">
        <w:r>
          <w:rPr>
            <w:rStyle w:val="Hyperlink"/>
          </w:rPr>
          <w:t xml:space="preserve">[4]</w:t>
        </w:r>
      </w:hyperlink>
      <w:r>
        <w:t xml:space="preserve">, the European Commission</w:t>
      </w:r>
      <w:hyperlink r:id="rId26">
        <w:r>
          <w:rPr>
            <w:rStyle w:val="Hyperlink"/>
          </w:rPr>
          <w:t xml:space="preserve">[5]</w:t>
        </w:r>
      </w:hyperlink>
      <w:r>
        <w:t xml:space="preserve">, UNESCO</w:t>
      </w:r>
      <w:hyperlink r:id="rId27">
        <w:r>
          <w:rPr>
            <w:rStyle w:val="Hyperlink"/>
          </w:rPr>
          <w:t xml:space="preserve">[6]</w:t>
        </w:r>
      </w:hyperlink>
      <w:r>
        <w:t xml:space="preserve">, and the International Telecommunication Union</w:t>
      </w:r>
      <w:hyperlink r:id="rId28">
        <w:r>
          <w:rPr>
            <w:rStyle w:val="Hyperlink"/>
          </w:rPr>
          <w:t xml:space="preserve">[7]</w:t>
        </w:r>
      </w:hyperlink>
      <w:r>
        <w:t xml:space="preserve">.</w:t>
      </w:r>
      <w:r>
        <w:t xml:space="preserve"> </w:t>
      </w:r>
      <w:hyperlink r:id="rId29">
        <w:r>
          <w:rPr>
            <w:rStyle w:val="Hyperlink"/>
          </w:rPr>
          <w:t xml:space="preserve">[8]</w:t>
        </w:r>
      </w:hyperlink>
    </w:p>
    <w:bookmarkEnd w:id="30"/>
    <w:bookmarkStart w:id="40" w:name="the-data-backbone"/>
    <w:p>
      <w:pPr>
        <w:pStyle w:val="Heading2"/>
      </w:pPr>
      <w:r>
        <w:t xml:space="preserve">The data backbone</w:t>
      </w:r>
    </w:p>
    <w:bookmarkStart w:id="33" w:name="taxonomies-and-profile-portability"/>
    <w:p>
      <w:pPr>
        <w:pStyle w:val="Heading3"/>
      </w:pPr>
      <w:r>
        <w:t xml:space="preserve">Taxonomies and profile portability</w:t>
      </w:r>
    </w:p>
    <w:p>
      <w:pPr>
        <w:pStyle w:val="FirstParagraph"/>
      </w:pPr>
      <w:r>
        <w:t xml:space="preserve">The passport should use</w:t>
      </w:r>
      <w:r>
        <w:t xml:space="preserve"> </w:t>
      </w:r>
      <w:r>
        <w:rPr>
          <w:b/>
          <w:bCs/>
        </w:rPr>
        <w:t xml:space="preserve">ISCO-08 as the occupational backbone</w:t>
      </w:r>
      <w:r>
        <w:t xml:space="preserve">, because it is free, hierarchical, internationally comparable, and already aligned with how labour statistics are reported. ISCO-08 classifies jobs into</w:t>
      </w:r>
      <w:r>
        <w:t xml:space="preserve"> </w:t>
      </w:r>
      <w:r>
        <w:rPr>
          <w:b/>
          <w:bCs/>
        </w:rPr>
        <w:t xml:space="preserve">436 unit groups</w:t>
      </w:r>
      <w:r>
        <w:t xml:space="preserve">, aggregated into 130 minor groups, 43 sub-major groups, and 10 major groups, and it is explicitly based on skill level and skill specialisation.</w:t>
      </w:r>
      <w:r>
        <w:t xml:space="preserve"> </w:t>
      </w:r>
      <w:hyperlink r:id="rId31">
        <w:r>
          <w:rPr>
            <w:rStyle w:val="Hyperlink"/>
          </w:rPr>
          <w:t xml:space="preserve">[9]</w:t>
        </w:r>
      </w:hyperlink>
    </w:p>
    <w:p>
      <w:pPr>
        <w:pStyle w:val="BodyText"/>
      </w:pPr>
      <w:r>
        <w:t xml:space="preserve">For skills, use</w:t>
      </w:r>
      <w:r>
        <w:t xml:space="preserve"> </w:t>
      </w:r>
      <w:r>
        <w:rPr>
          <w:b/>
          <w:bCs/>
        </w:rPr>
        <w:t xml:space="preserve">ESCO first</w:t>
      </w:r>
      <w:r>
        <w:t xml:space="preserve"> </w:t>
      </w:r>
      <w:r>
        <w:t xml:space="preserve">and</w:t>
      </w:r>
      <w:r>
        <w:t xml:space="preserve"> </w:t>
      </w:r>
      <w:r>
        <w:rPr>
          <w:b/>
          <w:bCs/>
        </w:rPr>
        <w:t xml:space="preserve">O*NET second</w:t>
      </w:r>
      <w:r>
        <w:t xml:space="preserve">. ESCO is a</w:t>
      </w:r>
      <w:r>
        <w:t xml:space="preserve"> </w:t>
      </w:r>
      <w:r>
        <w:rPr>
          <w:b/>
          <w:bCs/>
        </w:rPr>
        <w:t xml:space="preserve">multilingual</w:t>
      </w:r>
      <w:r>
        <w:t xml:space="preserve"> </w:t>
      </w:r>
      <w:r>
        <w:t xml:space="preserve">classification of skills, competences, qualifications, and occupations, and the European Commission</w:t>
      </w:r>
      <w:hyperlink r:id="rId26">
        <w:r>
          <w:rPr>
            <w:rStyle w:val="Hyperlink"/>
          </w:rPr>
          <w:t xml:space="preserve">[5]</w:t>
        </w:r>
      </w:hyperlink>
      <w:r>
        <w:t xml:space="preserve"> </w:t>
      </w:r>
      <w:r>
        <w:t xml:space="preserve">provides both a</w:t>
      </w:r>
      <w:r>
        <w:t xml:space="preserve"> </w:t>
      </w:r>
      <w:r>
        <w:rPr>
          <w:b/>
          <w:bCs/>
        </w:rPr>
        <w:t xml:space="preserve">Web Services API</w:t>
      </w:r>
      <w:r>
        <w:t xml:space="preserve"> </w:t>
      </w:r>
      <w:r>
        <w:t xml:space="preserve">and a</w:t>
      </w:r>
      <w:r>
        <w:t xml:space="preserve"> </w:t>
      </w:r>
      <w:r>
        <w:rPr>
          <w:b/>
          <w:bCs/>
        </w:rPr>
        <w:t xml:space="preserve">Local API</w:t>
      </w:r>
      <w:r>
        <w:t xml:space="preserve">, which is ideal for portability and low-latency local deployments. O*NET is valuable as an enrichment layer because it offers a rich task and skill database, downloadable in SQL and spreadsheet formats, under a Creative Commons licence, and also provides developer web services.</w:t>
      </w:r>
      <w:r>
        <w:t xml:space="preserve"> </w:t>
      </w:r>
      <w:hyperlink r:id="rId32">
        <w:r>
          <w:rPr>
            <w:rStyle w:val="Hyperlink"/>
          </w:rPr>
          <w:t xml:space="preserve">[10]</w:t>
        </w:r>
      </w:hyperlink>
    </w:p>
    <w:p>
      <w:pPr>
        <w:pStyle w:val="BodyText"/>
      </w:pPr>
      <w:r>
        <w:t xml:space="preserve">In practice, I would map messy evidence to</w:t>
      </w:r>
      <w:r>
        <w:t xml:space="preserve"> </w:t>
      </w:r>
      <w:r>
        <w:rPr>
          <w:b/>
          <w:bCs/>
        </w:rPr>
        <w:t xml:space="preserve">ESCO skill nodes</w:t>
      </w:r>
      <w:r>
        <w:t xml:space="preserve">, map those skills to</w:t>
      </w:r>
      <w:r>
        <w:t xml:space="preserve"> </w:t>
      </w:r>
      <w:r>
        <w:rPr>
          <w:b/>
          <w:bCs/>
        </w:rPr>
        <w:t xml:space="preserve">ISCO occupations</w:t>
      </w:r>
      <w:r>
        <w:t xml:space="preserve">, and only then use O</w:t>
      </w:r>
      <w:r>
        <w:rPr>
          <w:i/>
          <w:iCs/>
        </w:rPr>
        <w:t xml:space="preserve">NET to enrich task detail when the explanatory layer needs more granularity. That sequence keeps the passport globally portable while still taking advantage of O</w:t>
      </w:r>
      <w:r>
        <w:t xml:space="preserve">NET’s depth. It also avoids anchoring the whole system to a U.S.-centric taxonomy.</w:t>
      </w:r>
      <w:r>
        <w:t xml:space="preserve"> </w:t>
      </w:r>
      <w:hyperlink r:id="rId29">
        <w:r>
          <w:rPr>
            <w:rStyle w:val="Hyperlink"/>
          </w:rPr>
          <w:t xml:space="preserve">[11]</w:t>
        </w:r>
      </w:hyperlink>
    </w:p>
    <w:bookmarkEnd w:id="33"/>
    <w:bookmarkStart w:id="37" w:name="labour-market-and-econometric-signals"/>
    <w:p>
      <w:pPr>
        <w:pStyle w:val="Heading3"/>
      </w:pPr>
      <w:r>
        <w:t xml:space="preserve">Labour market and econometric signals</w:t>
      </w:r>
    </w:p>
    <w:p>
      <w:pPr>
        <w:pStyle w:val="FirstParagraph"/>
      </w:pPr>
      <w:r>
        <w:t xml:space="preserve">The</w:t>
      </w:r>
      <w:r>
        <w:t xml:space="preserve"> </w:t>
      </w:r>
      <w:r>
        <w:rPr>
          <w:b/>
          <w:bCs/>
        </w:rPr>
        <w:t xml:space="preserve">core labour signal source</w:t>
      </w:r>
      <w:r>
        <w:t xml:space="preserve"> </w:t>
      </w:r>
      <w:r>
        <w:t xml:space="preserve">should be ILOSTAT. It is the global reference for labour statistics, provides free and open access to datasets, and the SDMX gateway supports filtered queries by period and returns JSON or CSV, which is exactly what you want for a hackathon-grade ingestion pipeline. It covers wages, labour force participation, employment structure, hours, youth indicators, and working conditions.</w:t>
      </w:r>
      <w:r>
        <w:t xml:space="preserve"> </w:t>
      </w:r>
      <w:hyperlink r:id="rId34">
        <w:r>
          <w:rPr>
            <w:rStyle w:val="Hyperlink"/>
          </w:rPr>
          <w:t xml:space="preserve">[12]</w:t>
        </w:r>
      </w:hyperlink>
    </w:p>
    <w:p>
      <w:pPr>
        <w:pStyle w:val="BodyText"/>
      </w:pPr>
      <w:r>
        <w:t xml:space="preserve">The macro and development context should come from the WBG’s open data stack. The World Bank Indicators API exposes</w:t>
      </w:r>
      <w:r>
        <w:t xml:space="preserve"> </w:t>
      </w:r>
      <w:r>
        <w:rPr>
          <w:b/>
          <w:bCs/>
        </w:rPr>
        <w:t xml:space="preserve">nearly 16,000 time series</w:t>
      </w:r>
      <w:r>
        <w:t xml:space="preserve"> </w:t>
      </w:r>
      <w:r>
        <w:t xml:space="preserve">across</w:t>
      </w:r>
      <w:r>
        <w:t xml:space="preserve"> </w:t>
      </w:r>
      <w:r>
        <w:rPr>
          <w:b/>
          <w:bCs/>
        </w:rPr>
        <w:t xml:space="preserve">more than 45 databases</w:t>
      </w:r>
      <w:r>
        <w:t xml:space="preserve">, including World Development Indicators and the Human Capital Index, and version 2 of the API does</w:t>
      </w:r>
      <w:r>
        <w:t xml:space="preserve"> </w:t>
      </w:r>
      <w:r>
        <w:rPr>
          <w:b/>
          <w:bCs/>
        </w:rPr>
        <w:t xml:space="preserve">not</w:t>
      </w:r>
      <w:r>
        <w:t xml:space="preserve"> </w:t>
      </w:r>
      <w:r>
        <w:t xml:space="preserve">require authentication. The Human Capital Data Portal also aggregates education, health, social protection, and labour indicators from multiple sources, including UNESCO and the ILO.</w:t>
      </w:r>
      <w:r>
        <w:t xml:space="preserve"> </w:t>
      </w:r>
      <w:hyperlink r:id="rId35">
        <w:r>
          <w:rPr>
            <w:rStyle w:val="Hyperlink"/>
          </w:rPr>
          <w:t xml:space="preserve">[13]</w:t>
        </w:r>
      </w:hyperlink>
    </w:p>
    <w:p>
      <w:pPr>
        <w:pStyle w:val="BodyText"/>
      </w:pPr>
      <w:r>
        <w:t xml:space="preserve">For programme and policy depth, add four WBG assets.</w:t>
      </w:r>
      <w:r>
        <w:t xml:space="preserve"> </w:t>
      </w:r>
      <w:r>
        <w:rPr>
          <w:b/>
          <w:bCs/>
        </w:rPr>
        <w:t xml:space="preserve">GLD</w:t>
      </w:r>
      <w:r>
        <w:t xml:space="preserve"> </w:t>
      </w:r>
      <w:r>
        <w:t xml:space="preserve">gives open, transparent harmonised labour force and household survey data;</w:t>
      </w:r>
      <w:r>
        <w:t xml:space="preserve"> </w:t>
      </w:r>
      <w:r>
        <w:rPr>
          <w:b/>
          <w:bCs/>
        </w:rPr>
        <w:t xml:space="preserve">WBES Employment Indicators</w:t>
      </w:r>
      <w:r>
        <w:t xml:space="preserve"> </w:t>
      </w:r>
      <w:r>
        <w:t xml:space="preserve">add employer-side job creation and contraction signals;</w:t>
      </w:r>
      <w:r>
        <w:t xml:space="preserve"> </w:t>
      </w:r>
      <w:r>
        <w:rPr>
          <w:b/>
          <w:bCs/>
        </w:rPr>
        <w:t xml:space="preserve">JOIN</w:t>
      </w:r>
      <w:r>
        <w:t xml:space="preserve"> </w:t>
      </w:r>
      <w:r>
        <w:t xml:space="preserve">adds standardised jobs indicators and downloadable country panels; and</w:t>
      </w:r>
      <w:r>
        <w:t xml:space="preserve"> </w:t>
      </w:r>
      <w:r>
        <w:rPr>
          <w:b/>
          <w:bCs/>
        </w:rPr>
        <w:t xml:space="preserve">Women, Business and the Law</w:t>
      </w:r>
      <w:r>
        <w:t xml:space="preserve"> </w:t>
      </w:r>
      <w:r>
        <w:t xml:space="preserve">provides comparable constraints on women’s economic participation across 190 economies. Those are exactly the kinds of inputs that make a policymaker dashboard look credible rather than decorative.</w:t>
      </w:r>
      <w:r>
        <w:t xml:space="preserve"> </w:t>
      </w:r>
      <w:hyperlink r:id="rId36">
        <w:r>
          <w:rPr>
            <w:rStyle w:val="Hyperlink"/>
          </w:rPr>
          <w:t xml:space="preserve">[14]</w:t>
        </w:r>
      </w:hyperlink>
    </w:p>
    <w:bookmarkEnd w:id="37"/>
    <w:bookmarkStart w:id="39" w:name="forecasts-and-readiness-calibration"/>
    <w:p>
      <w:pPr>
        <w:pStyle w:val="Heading3"/>
      </w:pPr>
      <w:r>
        <w:t xml:space="preserve">Forecasts and readiness calibration</w:t>
      </w:r>
    </w:p>
    <w:p>
      <w:pPr>
        <w:pStyle w:val="FirstParagraph"/>
      </w:pPr>
      <w:r>
        <w:t xml:space="preserve">For the future-looking layer, use the</w:t>
      </w:r>
      <w:r>
        <w:t xml:space="preserve"> </w:t>
      </w:r>
      <w:r>
        <w:rPr>
          <w:b/>
          <w:bCs/>
        </w:rPr>
        <w:t xml:space="preserve">WCDE data explorer</w:t>
      </w:r>
      <w:r>
        <w:t xml:space="preserve"> </w:t>
      </w:r>
      <w:r>
        <w:t xml:space="preserve">for education and population projections. The latest explorer covers</w:t>
      </w:r>
      <w:r>
        <w:t xml:space="preserve"> </w:t>
      </w:r>
      <w:r>
        <w:rPr>
          <w:b/>
          <w:bCs/>
        </w:rPr>
        <w:t xml:space="preserve">200 countries</w:t>
      </w:r>
      <w:r>
        <w:t xml:space="preserve">, five-year periods from</w:t>
      </w:r>
      <w:r>
        <w:t xml:space="preserve"> </w:t>
      </w:r>
      <w:r>
        <w:rPr>
          <w:b/>
          <w:bCs/>
        </w:rPr>
        <w:t xml:space="preserve">2020 to 2100</w:t>
      </w:r>
      <w:r>
        <w:t xml:space="preserve">, and downloadable data by age, sex, and education. That is the right basis for the brief’s request to show where the skills landscape is heading, not just where it is now. Add the UNESCO Datahub API for enrolment, completion, and gender parity signals.</w:t>
      </w:r>
      <w:r>
        <w:t xml:space="preserve"> </w:t>
      </w:r>
      <w:hyperlink r:id="rId23">
        <w:r>
          <w:rPr>
            <w:rStyle w:val="Hyperlink"/>
          </w:rPr>
          <w:t xml:space="preserve">[15]</w:t>
        </w:r>
      </w:hyperlink>
    </w:p>
    <w:p>
      <w:pPr>
        <w:pStyle w:val="BodyText"/>
      </w:pPr>
      <w:r>
        <w:t xml:space="preserve">Digital readiness should be calibrated mainly with the ITU DataHub and the WBG’s Global Findex 2025 Digital Connectivity Tracker. The ITU DataHub provides</w:t>
      </w:r>
      <w:r>
        <w:t xml:space="preserve"> </w:t>
      </w:r>
      <w:r>
        <w:rPr>
          <w:b/>
          <w:bCs/>
        </w:rPr>
        <w:t xml:space="preserve">hundreds of ICT indicators</w:t>
      </w:r>
      <w:r>
        <w:t xml:space="preserve"> </w:t>
      </w:r>
      <w:r>
        <w:t xml:space="preserve">for</w:t>
      </w:r>
      <w:r>
        <w:t xml:space="preserve"> </w:t>
      </w:r>
      <w:r>
        <w:rPr>
          <w:b/>
          <w:bCs/>
        </w:rPr>
        <w:t xml:space="preserve">nearly 200 economies</w:t>
      </w:r>
      <w:r>
        <w:t xml:space="preserve">, while Global Findex 2025 introduced a dedicated connectivity tracker on access to and use of mobile technology. Together, they let you separate “this occupation is exposed in principle” from “this occupation is actually plausibly automatable soon in this context”.</w:t>
      </w:r>
      <w:r>
        <w:t xml:space="preserve"> </w:t>
      </w:r>
      <w:hyperlink r:id="rId38">
        <w:r>
          <w:rPr>
            <w:rStyle w:val="Hyperlink"/>
          </w:rPr>
          <w:t xml:space="preserve">[16]</w:t>
        </w:r>
      </w:hyperlink>
    </w:p>
    <w:p>
      <w:pPr>
        <w:pStyle w:val="BodyText"/>
      </w:pPr>
      <w:r>
        <w:t xml:space="preserve">For skills measurement, use</w:t>
      </w:r>
      <w:r>
        <w:t xml:space="preserve"> </w:t>
      </w:r>
      <w:r>
        <w:rPr>
          <w:b/>
          <w:bCs/>
        </w:rPr>
        <w:t xml:space="preserve">STEP</w:t>
      </w:r>
      <w:r>
        <w:t xml:space="preserve"> </w:t>
      </w:r>
      <w:r>
        <w:t xml:space="preserve">where it exists, especially for demo countries such as Ghana</w:t>
      </w:r>
      <w:hyperlink r:id="rId32">
        <w:r>
          <w:rPr>
            <w:rStyle w:val="Hyperlink"/>
          </w:rPr>
          <w:t xml:space="preserve">[17]</w:t>
        </w:r>
      </w:hyperlink>
      <w:r>
        <w:t xml:space="preserve">. The STEP programme is the WBG’s first initiative focused on measuring skills in low- and middle-income countries, and its household surveys include cognitive, socio-emotional, and job-relevant skills modules. That is rare, valuable calibration data for an LMIC-oriented system.</w:t>
      </w:r>
      <w:r>
        <w:t xml:space="preserve"> </w:t>
      </w:r>
      <w:hyperlink r:id="rId28">
        <w:r>
          <w:rPr>
            <w:rStyle w:val="Hyperlink"/>
          </w:rPr>
          <w:t xml:space="preserve">[18]</w:t>
        </w:r>
      </w:hyperlink>
    </w:p>
    <w:bookmarkEnd w:id="39"/>
    <w:bookmarkEnd w:id="40"/>
    <w:bookmarkStart w:id="45" w:name="the-technical-stack"/>
    <w:p>
      <w:pPr>
        <w:pStyle w:val="Heading2"/>
      </w:pPr>
      <w:r>
        <w:t xml:space="preserve">The technical stack</w:t>
      </w:r>
    </w:p>
    <w:p>
      <w:pPr>
        <w:pStyle w:val="FirstParagraph"/>
      </w:pPr>
      <w:r>
        <w:t xml:space="preserve">I would use the credits exactly where they create visible leverage. Use Lovable</w:t>
      </w:r>
      <w:hyperlink r:id="rId21">
        <w:r>
          <w:rPr>
            <w:rStyle w:val="Hyperlink"/>
          </w:rPr>
          <w:t xml:space="preserve">[19]</w:t>
        </w:r>
      </w:hyperlink>
      <w:r>
        <w:t xml:space="preserve"> </w:t>
      </w:r>
      <w:r>
        <w:t xml:space="preserve">to generate the first polished UI and flow fast, then sync to GitHub and deploy on Vercel</w:t>
      </w:r>
      <w:hyperlink r:id="rId35">
        <w:r>
          <w:rPr>
            <w:rStyle w:val="Hyperlink"/>
          </w:rPr>
          <w:t xml:space="preserve">[20]</w:t>
        </w:r>
      </w:hyperlink>
      <w:r>
        <w:t xml:space="preserve">. Lovable’s own docs are strong here: you keep ownership of code and data, you can continuously sync to GitHub, and the apps are standard Vite + React projects that can be hosted anywhere.</w:t>
      </w:r>
      <w:r>
        <w:t xml:space="preserve"> </w:t>
      </w:r>
      <w:hyperlink r:id="rId41">
        <w:r>
          <w:rPr>
            <w:rStyle w:val="Hyperlink"/>
          </w:rPr>
          <w:t xml:space="preserve">[21]</w:t>
        </w:r>
      </w:hyperlink>
    </w:p>
    <w:p>
      <w:pPr>
        <w:pStyle w:val="BodyText"/>
      </w:pPr>
      <w:r>
        <w:t xml:space="preserve">On the back end, keep the architecture boring in the best possible way. Use Vercel Functions for the APIs, Postgres through the Vercel marketplace for structured data, Blob for raw evidence and static country assets, Edge Config for global low-latency country-pack reads, and Cron Jobs for refresh pipelines. Vercel’s docs explicitly position Postgres as a managed external integration, Edge Config as a global store with sub-15 ms P99 reads, Blob for unstructured files, and Cron Jobs for scheduled automation.</w:t>
      </w:r>
      <w:r>
        <w:t xml:space="preserve"> </w:t>
      </w:r>
      <w:hyperlink r:id="rId42">
        <w:r>
          <w:rPr>
            <w:rStyle w:val="Hyperlink"/>
          </w:rPr>
          <w:t xml:space="preserve">[22]</w:t>
        </w:r>
      </w:hyperlink>
    </w:p>
    <w:p>
      <w:pPr>
        <w:pStyle w:val="BodyText"/>
      </w:pPr>
      <w:r>
        <w:t xml:space="preserve">For model orchestration, route everything through the Vercel AI SDK and AI Gateway so the inference layer stays provider-agnostic. The AI SDK gives a unified TypeScript interface across model providers, and AI Gateway supports provider selection and fallback behaviour. Then make the split simple: use Gemini 2.5 Flash for</w:t>
      </w:r>
      <w:r>
        <w:t xml:space="preserve"> </w:t>
      </w:r>
      <w:r>
        <w:rPr>
          <w:b/>
          <w:bCs/>
        </w:rPr>
        <w:t xml:space="preserve">structured extraction</w:t>
      </w:r>
      <w:r>
        <w:t xml:space="preserve">, translation, and low-latency schema-constrained outputs; use Claude for</w:t>
      </w:r>
      <w:r>
        <w:t xml:space="preserve"> </w:t>
      </w:r>
      <w:r>
        <w:rPr>
          <w:b/>
          <w:bCs/>
        </w:rPr>
        <w:t xml:space="preserve">document-grounded explanations</w:t>
      </w:r>
      <w:r>
        <w:t xml:space="preserve"> </w:t>
      </w:r>
      <w:r>
        <w:t xml:space="preserve">and cited reasoning over country-pack notes, policy overlays, and source summaries. Gemini’s structured outputs support JSON Schema and long contexts of 1M+ tokens, while Claude supports prompt caching and document citations.</w:t>
      </w:r>
      <w:r>
        <w:t xml:space="preserve"> </w:t>
      </w:r>
      <w:hyperlink r:id="rId43">
        <w:r>
          <w:rPr>
            <w:rStyle w:val="Hyperlink"/>
          </w:rPr>
          <w:t xml:space="preserve">[23]</w:t>
        </w:r>
      </w:hyperlink>
    </w:p>
    <w:p>
      <w:pPr>
        <w:pStyle w:val="BodyText"/>
      </w:pPr>
      <w:r>
        <w:t xml:space="preserve">This is also where Anthropic</w:t>
      </w:r>
      <w:hyperlink r:id="rId34">
        <w:r>
          <w:rPr>
            <w:rStyle w:val="Hyperlink"/>
          </w:rPr>
          <w:t xml:space="preserve">[24]</w:t>
        </w:r>
      </w:hyperlink>
      <w:r>
        <w:t xml:space="preserve">, Google</w:t>
      </w:r>
      <w:hyperlink r:id="rId29">
        <w:r>
          <w:rPr>
            <w:rStyle w:val="Hyperlink"/>
          </w:rPr>
          <w:t xml:space="preserve">[25]</w:t>
        </w:r>
      </w:hyperlink>
      <w:r>
        <w:t xml:space="preserve">, and Tavily</w:t>
      </w:r>
      <w:hyperlink r:id="rId24">
        <w:r>
          <w:rPr>
            <w:rStyle w:val="Hyperlink"/>
          </w:rPr>
          <w:t xml:space="preserve">[26]</w:t>
        </w:r>
      </w:hyperlink>
      <w:r>
        <w:t xml:space="preserve"> </w:t>
      </w:r>
      <w:r>
        <w:t xml:space="preserve">earn their place. Tavily should</w:t>
      </w:r>
      <w:r>
        <w:t xml:space="preserve"> </w:t>
      </w:r>
      <w:r>
        <w:rPr>
          <w:b/>
          <w:bCs/>
        </w:rPr>
        <w:t xml:space="preserve">not</w:t>
      </w:r>
      <w:r>
        <w:t xml:space="preserve"> </w:t>
      </w:r>
      <w:r>
        <w:t xml:space="preserve">be used for core labour statistics — those must come from official sources — but it is perfect for the</w:t>
      </w:r>
      <w:r>
        <w:t xml:space="preserve"> </w:t>
      </w:r>
      <w:r>
        <w:rPr>
          <w:b/>
          <w:bCs/>
        </w:rPr>
        <w:t xml:space="preserve">opportunity surface layer</w:t>
      </w:r>
      <w:r>
        <w:t xml:space="preserve">: discovering public apprenticeship pages, training-provider sites, NGO programme pages, or employment-service domains; extracting content from specific URLs; or crawling a known partner site to build a reviewed catalogue. Tavily exposes separate</w:t>
      </w:r>
      <w:r>
        <w:t xml:space="preserve"> </w:t>
      </w:r>
      <w:r>
        <w:rPr>
          <w:rStyle w:val="VerbatimChar"/>
        </w:rPr>
        <w:t xml:space="preserve">/search</w:t>
      </w:r>
      <w:r>
        <w:t xml:space="preserve">,</w:t>
      </w:r>
      <w:r>
        <w:t xml:space="preserve"> </w:t>
      </w:r>
      <w:r>
        <w:rPr>
          <w:rStyle w:val="VerbatimChar"/>
        </w:rPr>
        <w:t xml:space="preserve">/extract</w:t>
      </w:r>
      <w:r>
        <w:t xml:space="preserve">,</w:t>
      </w:r>
      <w:r>
        <w:t xml:space="preserve"> </w:t>
      </w:r>
      <w:r>
        <w:rPr>
          <w:rStyle w:val="VerbatimChar"/>
        </w:rPr>
        <w:t xml:space="preserve">/crawl</w:t>
      </w:r>
      <w:r>
        <w:t xml:space="preserve">, and</w:t>
      </w:r>
      <w:r>
        <w:t xml:space="preserve"> </w:t>
      </w:r>
      <w:r>
        <w:rPr>
          <w:rStyle w:val="VerbatimChar"/>
        </w:rPr>
        <w:t xml:space="preserve">/research</w:t>
      </w:r>
      <w:r>
        <w:t xml:space="preserve"> </w:t>
      </w:r>
      <w:r>
        <w:t xml:space="preserve">endpoints and supports project tracking headers, which is exactly what you want for auditable connectors.</w:t>
      </w:r>
      <w:r>
        <w:t xml:space="preserve"> </w:t>
      </w:r>
      <w:hyperlink r:id="rId44">
        <w:r>
          <w:rPr>
            <w:rStyle w:val="Hyperlink"/>
          </w:rPr>
          <w:t xml:space="preserve">[27]</w:t>
        </w:r>
      </w:hyperlink>
    </w:p>
    <w:bookmarkEnd w:id="45"/>
    <w:bookmarkStart w:id="50" w:name="the-scoring-logic"/>
    <w:p>
      <w:pPr>
        <w:pStyle w:val="Heading2"/>
      </w:pPr>
      <w:r>
        <w:t xml:space="preserve">The scoring logic</w:t>
      </w:r>
    </w:p>
    <w:bookmarkStart w:id="46" w:name="skills-signal-engine"/>
    <w:p>
      <w:pPr>
        <w:pStyle w:val="Heading3"/>
      </w:pPr>
      <w:r>
        <w:t xml:space="preserve">Skills Signal Engine</w:t>
      </w:r>
    </w:p>
    <w:p>
      <w:pPr>
        <w:pStyle w:val="FirstParagraph"/>
      </w:pPr>
      <w:r>
        <w:t xml:space="preserve">The Skills Signal Engine should be mostly deterministic, with LLMs only used at the messy-data edges. The pipeline should be:</w:t>
      </w:r>
    </w:p>
    <w:p>
      <w:pPr>
        <w:pStyle w:val="Compact"/>
        <w:numPr>
          <w:ilvl w:val="0"/>
          <w:numId w:val="1003"/>
        </w:numPr>
      </w:pPr>
      <w:r>
        <w:rPr>
          <w:b/>
          <w:bCs/>
        </w:rPr>
        <w:t xml:space="preserve">Ingest evidence</w:t>
      </w:r>
      <w:r>
        <w:t xml:space="preserve"> </w:t>
      </w:r>
      <w:r>
        <w:t xml:space="preserve">from text, forms, or navigator interview.</w:t>
      </w:r>
    </w:p>
    <w:p>
      <w:pPr>
        <w:pStyle w:val="Compact"/>
        <w:numPr>
          <w:ilvl w:val="0"/>
          <w:numId w:val="1003"/>
        </w:numPr>
      </w:pPr>
      <w:r>
        <w:rPr>
          <w:b/>
          <w:bCs/>
        </w:rPr>
        <w:t xml:space="preserve">Extract structured claims</w:t>
      </w:r>
      <w:r>
        <w:t xml:space="preserve"> </w:t>
      </w:r>
      <w:r>
        <w:t xml:space="preserve">about tasks performed, tools used, customers served, languages, responsibilities, and products delivered.</w:t>
      </w:r>
    </w:p>
    <w:p>
      <w:pPr>
        <w:pStyle w:val="Compact"/>
        <w:numPr>
          <w:ilvl w:val="0"/>
          <w:numId w:val="1003"/>
        </w:numPr>
      </w:pPr>
      <w:r>
        <w:rPr>
          <w:b/>
          <w:bCs/>
        </w:rPr>
        <w:t xml:space="preserve">Normalise</w:t>
      </w:r>
      <w:r>
        <w:t xml:space="preserve"> </w:t>
      </w:r>
      <w:r>
        <w:t xml:space="preserve">those claims into ESCO skills and ISCO occupation hypotheses.</w:t>
      </w:r>
    </w:p>
    <w:p>
      <w:pPr>
        <w:pStyle w:val="Compact"/>
        <w:numPr>
          <w:ilvl w:val="0"/>
          <w:numId w:val="1003"/>
        </w:numPr>
      </w:pPr>
      <w:r>
        <w:rPr>
          <w:b/>
          <w:bCs/>
        </w:rPr>
        <w:t xml:space="preserve">Score confidence</w:t>
      </w:r>
      <w:r>
        <w:t xml:space="preserve"> </w:t>
      </w:r>
      <w:r>
        <w:t xml:space="preserve">using provenance, number of corroborating claims, and optional human verification.</w:t>
      </w:r>
    </w:p>
    <w:p>
      <w:pPr>
        <w:pStyle w:val="Compact"/>
        <w:numPr>
          <w:ilvl w:val="0"/>
          <w:numId w:val="1003"/>
        </w:numPr>
      </w:pPr>
      <w:r>
        <w:rPr>
          <w:b/>
          <w:bCs/>
        </w:rPr>
        <w:t xml:space="preserve">Generate a human-readable passport</w:t>
      </w:r>
      <w:r>
        <w:t xml:space="preserve"> </w:t>
      </w:r>
      <w:r>
        <w:t xml:space="preserve">in plain language, with a short explanation of why each skill was inferred.</w:t>
      </w:r>
    </w:p>
    <w:p>
      <w:pPr>
        <w:pStyle w:val="FirstParagraph"/>
      </w:pPr>
      <w:r>
        <w:t xml:space="preserve">The trick that will impress the jury is</w:t>
      </w:r>
      <w:r>
        <w:t xml:space="preserve"> </w:t>
      </w:r>
      <w:r>
        <w:rPr>
          <w:b/>
          <w:bCs/>
        </w:rPr>
        <w:t xml:space="preserve">provenance cards</w:t>
      </w:r>
      <w:r>
        <w:t xml:space="preserve">. Every inferred skill should say something like: “Customer communication — inferred from running a phone-repair stall, repeat client handling, and supplier negotiations.” That directly answers the brief’s demand for explainability and human ownership. fileciteturn0file0</w:t>
      </w:r>
    </w:p>
    <w:bookmarkEnd w:id="46"/>
    <w:bookmarkStart w:id="48" w:name="ai-readiness-and-displacement-risk-lens"/>
    <w:p>
      <w:pPr>
        <w:pStyle w:val="Heading3"/>
      </w:pPr>
      <w:r>
        <w:t xml:space="preserve">AI Readiness and Displacement Risk Lens</w:t>
      </w:r>
    </w:p>
    <w:p>
      <w:pPr>
        <w:pStyle w:val="FirstParagraph"/>
      </w:pPr>
      <w:r>
        <w:t xml:space="preserve">This module should combine</w:t>
      </w:r>
      <w:r>
        <w:t xml:space="preserve"> </w:t>
      </w:r>
      <w:r>
        <w:rPr>
          <w:b/>
          <w:bCs/>
        </w:rPr>
        <w:t xml:space="preserve">two baseline exposure signals</w:t>
      </w:r>
      <w:r>
        <w:t xml:space="preserve"> </w:t>
      </w:r>
      <w:r>
        <w:t xml:space="preserve">with</w:t>
      </w:r>
      <w:r>
        <w:t xml:space="preserve"> </w:t>
      </w:r>
      <w:r>
        <w:rPr>
          <w:b/>
          <w:bCs/>
        </w:rPr>
        <w:t xml:space="preserve">local adoption constraints</w:t>
      </w:r>
      <w:r>
        <w:t xml:space="preserve">.</w:t>
      </w:r>
    </w:p>
    <w:p>
      <w:pPr>
        <w:pStyle w:val="BodyText"/>
      </w:pPr>
      <w:r>
        <w:t xml:space="preserve">The first baseline is the ILO’s refined</w:t>
      </w:r>
      <w:r>
        <w:t xml:space="preserve"> </w:t>
      </w:r>
      <w:r>
        <w:rPr>
          <w:b/>
          <w:bCs/>
        </w:rPr>
        <w:t xml:space="preserve">2025 global index of occupational exposure to generative AI</w:t>
      </w:r>
      <w:r>
        <w:t xml:space="preserve">, which is already linked to ISCO-08 and explicitly distinguishes</w:t>
      </w:r>
      <w:r>
        <w:t xml:space="preserve"> </w:t>
      </w:r>
      <w:r>
        <w:rPr>
          <w:b/>
          <w:bCs/>
        </w:rPr>
        <w:t xml:space="preserve">exposure</w:t>
      </w:r>
      <w:r>
        <w:t xml:space="preserve"> </w:t>
      </w:r>
      <w:r>
        <w:t xml:space="preserve">from actual employment impact. The ILO paper is extremely useful for your narrative because it says the estimates are an upper threshold and that infrastructure, broadband, electricity, digital skills, cost, and other operational frictions can materially limit adoption.</w:t>
      </w:r>
      <w:r>
        <w:t xml:space="preserve"> </w:t>
      </w:r>
      <w:hyperlink r:id="rId27">
        <w:r>
          <w:rPr>
            <w:rStyle w:val="Hyperlink"/>
          </w:rPr>
          <w:t xml:space="preserve">[28]</w:t>
        </w:r>
      </w:hyperlink>
    </w:p>
    <w:p>
      <w:pPr>
        <w:pStyle w:val="BodyText"/>
      </w:pPr>
      <w:r>
        <w:t xml:space="preserve">The second baseline is the</w:t>
      </w:r>
      <w:r>
        <w:t xml:space="preserve"> </w:t>
      </w:r>
      <w:r>
        <w:rPr>
          <w:b/>
          <w:bCs/>
        </w:rPr>
        <w:t xml:space="preserve">Frey-Osborne</w:t>
      </w:r>
      <w:r>
        <w:t xml:space="preserve"> </w:t>
      </w:r>
      <w:r>
        <w:t xml:space="preserve">automation probability set from the Oxford Martin paper. I would use it, but only as a</w:t>
      </w:r>
      <w:r>
        <w:t xml:space="preserve"> </w:t>
      </w:r>
      <w:r>
        <w:rPr>
          <w:b/>
          <w:bCs/>
        </w:rPr>
        <w:t xml:space="preserve">legacy comparator</w:t>
      </w:r>
      <w:r>
        <w:t xml:space="preserve">, clearly labelled as such. It is useful because jurors will recognise it, and the brief explicitly mentions it. But it should not be your main score, because more recent ILO work explicitly warns that crosswalking from non-ISCO systems like O*NET into non-high-income contexts involves tenuous assumptions.</w:t>
      </w:r>
      <w:r>
        <w:t xml:space="preserve"> </w:t>
      </w:r>
      <w:hyperlink r:id="rId24">
        <w:r>
          <w:rPr>
            <w:rStyle w:val="Hyperlink"/>
          </w:rPr>
          <w:t xml:space="preserve">[29]</w:t>
        </w:r>
      </w:hyperlink>
    </w:p>
    <w:p>
      <w:pPr>
        <w:pStyle w:val="BodyText"/>
      </w:pPr>
      <w:r>
        <w:t xml:space="preserve">From there, compute two outputs instead of one:</w:t>
      </w:r>
    </w:p>
    <w:p>
      <w:pPr>
        <w:pStyle w:val="Compact"/>
        <w:numPr>
          <w:ilvl w:val="0"/>
          <w:numId w:val="1004"/>
        </w:numPr>
      </w:pPr>
      <w:r>
        <w:rPr>
          <w:b/>
          <w:bCs/>
        </w:rPr>
        <w:t xml:space="preserve">Structural exposure</w:t>
      </w:r>
      <w:r>
        <w:t xml:space="preserve"> </w:t>
      </w:r>
      <w:r>
        <w:t xml:space="preserve">— how automatable the occupation’s task mix looks in principle.</w:t>
      </w:r>
    </w:p>
    <w:p>
      <w:pPr>
        <w:pStyle w:val="Compact"/>
        <w:numPr>
          <w:ilvl w:val="0"/>
          <w:numId w:val="1004"/>
        </w:numPr>
      </w:pPr>
      <w:r>
        <w:rPr>
          <w:b/>
          <w:bCs/>
        </w:rPr>
        <w:t xml:space="preserve">Near-term displacement feasibility</w:t>
      </w:r>
      <w:r>
        <w:t xml:space="preserve"> </w:t>
      </w:r>
      <w:r>
        <w:t xml:space="preserve">— structural exposure adjusted by local digital infrastructure, digital usage at work, employer adoption conditions, and formality.</w:t>
      </w:r>
    </w:p>
    <w:p>
      <w:pPr>
        <w:pStyle w:val="FirstParagraph"/>
      </w:pPr>
      <w:r>
        <w:t xml:space="preserve">That second score is where the LMIC calibration becomes genuinely good. The ILO-WBG Latin America paper is especially helpful here: it found that a large share of the jobs that could benefit from GenAI are bottlenecked by digital access, with up to half of potentially productivity-enhancing jobs hindered by gaps in connectivity and computer use. That is exactly the logic you want to reuse for a broader LMIC lens.</w:t>
      </w:r>
      <w:r>
        <w:t xml:space="preserve"> </w:t>
      </w:r>
      <w:hyperlink r:id="rId47">
        <w:r>
          <w:rPr>
            <w:rStyle w:val="Hyperlink"/>
          </w:rPr>
          <w:t xml:space="preserve">[30]</w:t>
        </w:r>
      </w:hyperlink>
    </w:p>
    <w:bookmarkEnd w:id="48"/>
    <w:bookmarkStart w:id="49" w:name="opportunity-graph-and-dashboard"/>
    <w:p>
      <w:pPr>
        <w:pStyle w:val="Heading3"/>
      </w:pPr>
      <w:r>
        <w:t xml:space="preserve">Opportunity Graph and dashboard</w:t>
      </w:r>
    </w:p>
    <w:p>
      <w:pPr>
        <w:pStyle w:val="FirstParagraph"/>
      </w:pPr>
      <w:r>
        <w:t xml:space="preserve">Opportunity matching should be openly scored, not magical. I would rank opportunities on five visible components:</w:t>
      </w:r>
    </w:p>
    <w:p>
      <w:pPr>
        <w:pStyle w:val="Compact"/>
        <w:numPr>
          <w:ilvl w:val="0"/>
          <w:numId w:val="1005"/>
        </w:numPr>
      </w:pPr>
      <w:r>
        <w:rPr>
          <w:b/>
          <w:bCs/>
        </w:rPr>
        <w:t xml:space="preserve">Skill fit</w:t>
      </w:r>
    </w:p>
    <w:p>
      <w:pPr>
        <w:pStyle w:val="Compact"/>
        <w:numPr>
          <w:ilvl w:val="0"/>
          <w:numId w:val="1005"/>
        </w:numPr>
      </w:pPr>
      <w:r>
        <w:rPr>
          <w:b/>
          <w:bCs/>
        </w:rPr>
        <w:t xml:space="preserve">Reachability</w:t>
      </w:r>
    </w:p>
    <w:p>
      <w:pPr>
        <w:pStyle w:val="Compact"/>
        <w:numPr>
          <w:ilvl w:val="0"/>
          <w:numId w:val="1005"/>
        </w:numPr>
      </w:pPr>
      <w:r>
        <w:rPr>
          <w:b/>
          <w:bCs/>
        </w:rPr>
        <w:t xml:space="preserve">Income signal</w:t>
      </w:r>
    </w:p>
    <w:p>
      <w:pPr>
        <w:pStyle w:val="Compact"/>
        <w:numPr>
          <w:ilvl w:val="0"/>
          <w:numId w:val="1005"/>
        </w:numPr>
      </w:pPr>
      <w:r>
        <w:rPr>
          <w:b/>
          <w:bCs/>
        </w:rPr>
        <w:t xml:space="preserve">Sector signal</w:t>
      </w:r>
    </w:p>
    <w:p>
      <w:pPr>
        <w:pStyle w:val="Compact"/>
        <w:numPr>
          <w:ilvl w:val="0"/>
          <w:numId w:val="1005"/>
        </w:numPr>
      </w:pPr>
      <w:r>
        <w:rPr>
          <w:b/>
          <w:bCs/>
        </w:rPr>
        <w:t xml:space="preserve">Resilience uplift</w:t>
      </w:r>
    </w:p>
    <w:p>
      <w:pPr>
        <w:pStyle w:val="FirstParagraph"/>
      </w:pPr>
      <w:r>
        <w:t xml:space="preserve">Every opportunity card should visibly show at least</w:t>
      </w:r>
      <w:r>
        <w:t xml:space="preserve"> </w:t>
      </w:r>
      <w:r>
        <w:rPr>
          <w:b/>
          <w:bCs/>
        </w:rPr>
        <w:t xml:space="preserve">two econometric signals</w:t>
      </w:r>
      <w:r>
        <w:t xml:space="preserve">. The cleanest pair is a</w:t>
      </w:r>
      <w:r>
        <w:t xml:space="preserve"> </w:t>
      </w:r>
      <w:r>
        <w:rPr>
          <w:b/>
          <w:bCs/>
        </w:rPr>
        <w:t xml:space="preserve">wage or earnings signal</w:t>
      </w:r>
      <w:r>
        <w:t xml:space="preserve"> </w:t>
      </w:r>
      <w:r>
        <w:t xml:space="preserve">plus a</w:t>
      </w:r>
      <w:r>
        <w:t xml:space="preserve"> </w:t>
      </w:r>
      <w:r>
        <w:rPr>
          <w:b/>
          <w:bCs/>
        </w:rPr>
        <w:t xml:space="preserve">sector employment trend</w:t>
      </w:r>
      <w:r>
        <w:t xml:space="preserve">; then add optional overlays such as formality, digital requirements, or legal constraints for women. Those inputs can be sourced from ILOSTAT earnings and labour-force tables, WDI and HCI indicators, GLD/JOIN outputs, and WBL policy overlays.</w:t>
      </w:r>
      <w:r>
        <w:t xml:space="preserve"> </w:t>
      </w:r>
      <w:hyperlink r:id="rId26">
        <w:r>
          <w:rPr>
            <w:rStyle w:val="Hyperlink"/>
          </w:rPr>
          <w:t xml:space="preserve">[31]</w:t>
        </w:r>
      </w:hyperlink>
    </w:p>
    <w:p>
      <w:pPr>
        <w:pStyle w:val="BodyText"/>
      </w:pPr>
      <w:r>
        <w:t xml:space="preserve">The policymaker dashboard should aggregate anonymous profiles into three views:</w:t>
      </w:r>
      <w:r>
        <w:t xml:space="preserve"> </w:t>
      </w:r>
      <w:r>
        <w:rPr>
          <w:b/>
          <w:bCs/>
        </w:rPr>
        <w:t xml:space="preserve">mapped skills supply</w:t>
      </w:r>
      <w:r>
        <w:t xml:space="preserve">,</w:t>
      </w:r>
      <w:r>
        <w:t xml:space="preserve"> </w:t>
      </w:r>
      <w:r>
        <w:rPr>
          <w:b/>
          <w:bCs/>
        </w:rPr>
        <w:t xml:space="preserve">opportunity demand</w:t>
      </w:r>
      <w:r>
        <w:t xml:space="preserve">, and</w:t>
      </w:r>
      <w:r>
        <w:t xml:space="preserve"> </w:t>
      </w:r>
      <w:r>
        <w:rPr>
          <w:b/>
          <w:bCs/>
        </w:rPr>
        <w:t xml:space="preserve">2035 divergence</w:t>
      </w:r>
      <w:r>
        <w:t xml:space="preserve">. The last one is powerful: compare projected educational attainment from WCDE with current and emerging labour market structure to show where a region is likely to have an oversupply of credentials but an undersupply of signalable, opportunity-ready skills. That is a strong policy story and much more interesting than a generic unemployment chart.</w:t>
      </w:r>
      <w:r>
        <w:t xml:space="preserve"> </w:t>
      </w:r>
      <w:hyperlink r:id="rId23">
        <w:r>
          <w:rPr>
            <w:rStyle w:val="Hyperlink"/>
          </w:rPr>
          <w:t xml:space="preserve">[32]</w:t>
        </w:r>
      </w:hyperlink>
    </w:p>
    <w:bookmarkEnd w:id="49"/>
    <w:bookmarkEnd w:id="50"/>
    <w:bookmarkStart w:id="51" w:name="the-demo-the-jury-will-remember"/>
    <w:p>
      <w:pPr>
        <w:pStyle w:val="Heading2"/>
      </w:pPr>
      <w:r>
        <w:t xml:space="preserve">The demo the jury will remember</w:t>
      </w:r>
    </w:p>
    <w:p>
      <w:pPr>
        <w:pStyle w:val="FirstParagraph"/>
      </w:pPr>
      <w:r>
        <w:t xml:space="preserve">I would demo the first country pack in Ghana</w:t>
      </w:r>
      <w:hyperlink r:id="rId32">
        <w:r>
          <w:rPr>
            <w:rStyle w:val="Hyperlink"/>
          </w:rPr>
          <w:t xml:space="preserve">[17]</w:t>
        </w:r>
      </w:hyperlink>
      <w:r>
        <w:t xml:space="preserve"> </w:t>
      </w:r>
      <w:r>
        <w:t xml:space="preserve">because the brief’s narrative already anchors there and STEP public-use data exists for Ghana. Then I would prove country-agnostic design by swapping to Bangladesh</w:t>
      </w:r>
      <w:hyperlink r:id="rId21">
        <w:r>
          <w:rPr>
            <w:rStyle w:val="Hyperlink"/>
          </w:rPr>
          <w:t xml:space="preserve">[33]</w:t>
        </w:r>
      </w:hyperlink>
      <w:r>
        <w:t xml:space="preserve"> </w:t>
      </w:r>
      <w:r>
        <w:t xml:space="preserve">with a Bangla UI, a different opportunity mix, and a different calibration profile. That second context is feasible because Bangladesh already appears in the WBG jobs-diagnostics ecosystem with downloadable country outputs and indicators.</w:t>
      </w:r>
      <w:r>
        <w:t xml:space="preserve"> </w:t>
      </w:r>
      <w:hyperlink r:id="rId28">
        <w:r>
          <w:rPr>
            <w:rStyle w:val="Hyperlink"/>
          </w:rPr>
          <w:t xml:space="preserve">[34]</w:t>
        </w:r>
      </w:hyperlink>
    </w:p>
    <w:p>
      <w:pPr>
        <w:pStyle w:val="BodyText"/>
      </w:pPr>
      <w:r>
        <w:t xml:space="preserve">The live demo should be staged like this:</w:t>
      </w:r>
    </w:p>
    <w:p>
      <w:pPr>
        <w:pStyle w:val="Compact"/>
        <w:numPr>
          <w:ilvl w:val="0"/>
          <w:numId w:val="1006"/>
        </w:numPr>
      </w:pPr>
      <w:r>
        <w:t xml:space="preserve">Create Amara’s passport in under five minutes.</w:t>
      </w:r>
    </w:p>
    <w:p>
      <w:pPr>
        <w:pStyle w:val="Compact"/>
        <w:numPr>
          <w:ilvl w:val="0"/>
          <w:numId w:val="1006"/>
        </w:numPr>
      </w:pPr>
      <w:r>
        <w:t xml:space="preserve">Open one skill card and show evidence provenance.</w:t>
      </w:r>
    </w:p>
    <w:p>
      <w:pPr>
        <w:pStyle w:val="Compact"/>
        <w:numPr>
          <w:ilvl w:val="0"/>
          <w:numId w:val="1006"/>
        </w:numPr>
      </w:pPr>
      <w:r>
        <w:t xml:space="preserve">Show the AI risk lens with both “structural exposure” and “near-term feasibility”.</w:t>
      </w:r>
    </w:p>
    <w:p>
      <w:pPr>
        <w:pStyle w:val="Compact"/>
        <w:numPr>
          <w:ilvl w:val="0"/>
          <w:numId w:val="1006"/>
        </w:numPr>
      </w:pPr>
      <w:r>
        <w:t xml:space="preserve">Show the top three reachable opportunities, each with wage and sector signals.</w:t>
      </w:r>
    </w:p>
    <w:p>
      <w:pPr>
        <w:pStyle w:val="Compact"/>
        <w:numPr>
          <w:ilvl w:val="0"/>
          <w:numId w:val="1006"/>
        </w:numPr>
      </w:pPr>
      <w:r>
        <w:t xml:space="preserve">Switch to the policymaker dashboard.</w:t>
      </w:r>
    </w:p>
    <w:p>
      <w:pPr>
        <w:pStyle w:val="Compact"/>
        <w:numPr>
          <w:ilvl w:val="0"/>
          <w:numId w:val="1006"/>
        </w:numPr>
      </w:pPr>
      <w:r>
        <w:t xml:space="preserve">Swap the country pack live and rerun the same profile in Bangladesh.</w:t>
      </w:r>
    </w:p>
    <w:p>
      <w:pPr>
        <w:pStyle w:val="FirstParagraph"/>
      </w:pPr>
      <w:r>
        <w:t xml:space="preserve">That one sequence proves creativity, technical depth, localisability, and presentation quality at once. It also directly answers the brief’s requirement to show what reconfiguration for a second context would actually take. fileciteturn0file0</w:t>
      </w:r>
    </w:p>
    <w:p>
      <w:pPr>
        <w:pStyle w:val="BodyText"/>
      </w:pPr>
      <w:r>
        <w:t xml:space="preserve">The metrics I would show on the last slide are not vanity metrics. I would show: time to produce a passport; share of inferred skills backed by evidence; percentage of opportunity cards with two visible econometric signals; number of code changes required to switch country pack; and the proportion of raw evidence deleted or redacted after extraction. Those are operational metrics the jury can believe.</w:t>
      </w:r>
    </w:p>
    <w:bookmarkEnd w:id="51"/>
    <w:bookmarkStart w:id="52" w:name="the-build-plan-for-a-hackathon-weekend"/>
    <w:p>
      <w:pPr>
        <w:pStyle w:val="Heading2"/>
      </w:pPr>
      <w:r>
        <w:t xml:space="preserve">The build plan for a hackathon weekend</w:t>
      </w:r>
    </w:p>
    <w:p>
      <w:pPr>
        <w:pStyle w:val="FirstParagraph"/>
      </w:pPr>
      <w:r>
        <w:t xml:space="preserve">The weekend plan should be ruthless.</w:t>
      </w:r>
    </w:p>
    <w:p>
      <w:pPr>
        <w:pStyle w:val="BodyText"/>
      </w:pPr>
      <w:r>
        <w:t xml:space="preserve">On the first block, build the</w:t>
      </w:r>
      <w:r>
        <w:t xml:space="preserve"> </w:t>
      </w:r>
      <w:r>
        <w:rPr>
          <w:b/>
          <w:bCs/>
        </w:rPr>
        <w:t xml:space="preserve">country-pack schema</w:t>
      </w:r>
      <w:r>
        <w:t xml:space="preserve">, the</w:t>
      </w:r>
      <w:r>
        <w:t xml:space="preserve"> </w:t>
      </w:r>
      <w:r>
        <w:rPr>
          <w:b/>
          <w:bCs/>
        </w:rPr>
        <w:t xml:space="preserve">taxonomy normaliser</w:t>
      </w:r>
      <w:r>
        <w:t xml:space="preserve">, and the</w:t>
      </w:r>
      <w:r>
        <w:t xml:space="preserve"> </w:t>
      </w:r>
      <w:r>
        <w:rPr>
          <w:b/>
          <w:bCs/>
        </w:rPr>
        <w:t xml:space="preserve">passport flow</w:t>
      </w:r>
      <w:r>
        <w:t xml:space="preserve"> </w:t>
      </w:r>
      <w:r>
        <w:t xml:space="preserve">for Ghana. On the second block, add the</w:t>
      </w:r>
      <w:r>
        <w:t xml:space="preserve"> </w:t>
      </w:r>
      <w:r>
        <w:rPr>
          <w:b/>
          <w:bCs/>
        </w:rPr>
        <w:t xml:space="preserve">risk lens</w:t>
      </w:r>
      <w:r>
        <w:t xml:space="preserve">, then the</w:t>
      </w:r>
      <w:r>
        <w:t xml:space="preserve"> </w:t>
      </w:r>
      <w:r>
        <w:rPr>
          <w:b/>
          <w:bCs/>
        </w:rPr>
        <w:t xml:space="preserve">Opportunity Graph</w:t>
      </w:r>
      <w:r>
        <w:t xml:space="preserve"> </w:t>
      </w:r>
      <w:r>
        <w:t xml:space="preserve">with one official-data-backed opportunity ranking and one Tavily-powered connector for training or apprenticeship pages. On the third block, build the</w:t>
      </w:r>
      <w:r>
        <w:t xml:space="preserve"> </w:t>
      </w:r>
      <w:r>
        <w:rPr>
          <w:b/>
          <w:bCs/>
        </w:rPr>
        <w:t xml:space="preserve">anonymous dashboard</w:t>
      </w:r>
      <w:r>
        <w:t xml:space="preserve"> </w:t>
      </w:r>
      <w:r>
        <w:t xml:space="preserve">and the</w:t>
      </w:r>
      <w:r>
        <w:t xml:space="preserve"> </w:t>
      </w:r>
      <w:r>
        <w:rPr>
          <w:b/>
          <w:bCs/>
        </w:rPr>
        <w:t xml:space="preserve">Bangladesh switch</w:t>
      </w:r>
      <w:r>
        <w:t xml:space="preserve">. Use Lovable for UI acceleration right away, but keep the entire engine behind API routes so the protocol survives even if the UI changes.</w:t>
      </w:r>
    </w:p>
    <w:p>
      <w:pPr>
        <w:pStyle w:val="BodyText"/>
      </w:pPr>
      <w:r>
        <w:t xml:space="preserve">If time slips, cut in this order: voice features, employer-mode polish, live crawling breadth, and advanced visualisations. Do</w:t>
      </w:r>
      <w:r>
        <w:t xml:space="preserve"> </w:t>
      </w:r>
      <w:r>
        <w:rPr>
          <w:b/>
          <w:bCs/>
        </w:rPr>
        <w:t xml:space="preserve">not</w:t>
      </w:r>
      <w:r>
        <w:t xml:space="preserve"> </w:t>
      </w:r>
      <w:r>
        <w:t xml:space="preserve">cut the country-pack abstraction, the evidence provenance layer, or the visible econometric signals. Those are the parts that will actually win.</w:t>
      </w:r>
    </w:p>
    <w:bookmarkEnd w:id="52"/>
    <w:bookmarkStart w:id="53" w:name="open-questions-and-limitations"/>
    <w:p>
      <w:pPr>
        <w:pStyle w:val="Heading2"/>
      </w:pPr>
      <w:r>
        <w:t xml:space="preserve">Open questions and limitations</w:t>
      </w:r>
    </w:p>
    <w:p>
      <w:pPr>
        <w:pStyle w:val="FirstParagraph"/>
      </w:pPr>
      <w:r>
        <w:t xml:space="preserve">Two things should be stated honestly in the pitch. First, Frey-Osborne is useful as a legacy baseline, but it should remain secondary to newer ISCO-linked exposure work; the ILO itself notes that crosswalking out of U.S.-centric systems into lower-income contexts can be a weak assumption.</w:t>
      </w:r>
      <w:r>
        <w:t xml:space="preserve"> </w:t>
      </w:r>
      <w:hyperlink r:id="rId24">
        <w:r>
          <w:rPr>
            <w:rStyle w:val="Hyperlink"/>
          </w:rPr>
          <w:t xml:space="preserve">[35]</w:t>
        </w:r>
      </w:hyperlink>
    </w:p>
    <w:p>
      <w:pPr>
        <w:pStyle w:val="BodyText"/>
      </w:pPr>
      <w:r>
        <w:t xml:space="preserve">Second, the labour datasets are not all equally fresh. ILOSTAT and WDI are excellent for official signals and APIs, but STEP, WBES, GLD, and other harmonised microdata products are periodic rather than real-time. That means the</w:t>
      </w:r>
      <w:r>
        <w:t xml:space="preserve"> </w:t>
      </w:r>
      <w:r>
        <w:rPr>
          <w:b/>
          <w:bCs/>
        </w:rPr>
        <w:t xml:space="preserve">core econometric layer</w:t>
      </w:r>
      <w:r>
        <w:t xml:space="preserve"> </w:t>
      </w:r>
      <w:r>
        <w:t xml:space="preserve">should come from official open datasets, while the</w:t>
      </w:r>
      <w:r>
        <w:t xml:space="preserve"> </w:t>
      </w:r>
      <w:r>
        <w:rPr>
          <w:b/>
          <w:bCs/>
        </w:rPr>
        <w:t xml:space="preserve">opportunity catalogue</w:t>
      </w:r>
      <w:r>
        <w:t xml:space="preserve"> </w:t>
      </w:r>
      <w:r>
        <w:t xml:space="preserve">should be refreshed separately via configurable connectors, reviewed crawls, and partner uploads.</w:t>
      </w:r>
      <w:r>
        <w:t xml:space="preserve"> </w:t>
      </w:r>
      <w:hyperlink r:id="rId25">
        <w:r>
          <w:rPr>
            <w:rStyle w:val="Hyperlink"/>
          </w:rPr>
          <w:t xml:space="preserve">[36]</w:t>
        </w:r>
      </w:hyperlink>
    </w:p>
    <w:p>
      <w:pPr>
        <w:pStyle w:val="BodyText"/>
      </w:pPr>
      <w:r>
        <w:t xml:space="preserve">If you keep that boundary clear — official data for the signal layer, configurable connectors for the opportunity layer — you will have something that looks both ambitious and believable.</w:t>
      </w:r>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[19]</w:t>
        </w:r>
      </w:hyperlink>
      <w:r>
        <w:t xml:space="preserve"> </w:t>
      </w:r>
      <w:hyperlink r:id="rId21">
        <w:r>
          <w:rPr>
            <w:rStyle w:val="Hyperlink"/>
          </w:rPr>
          <w:t xml:space="preserve">[33]</w:t>
        </w:r>
      </w:hyperlink>
      <w:r>
        <w:t xml:space="preserve"> </w:t>
      </w:r>
      <w:r>
        <w:t xml:space="preserve">https://www.worldbank.org/en/events/2026/06/11/youth-summit-2026-future-works-designing-jobs-for-the-digital-age</w:t>
      </w:r>
    </w:p>
    <w:p>
      <w:pPr>
        <w:pStyle w:val="BodyText"/>
      </w:pPr>
      <w:hyperlink r:id="rId21">
        <w:r>
          <w:rPr>
            <w:rStyle w:val="Hyperlink"/>
          </w:rPr>
          <w:t xml:space="preserve">https://www.worldbank.org/en/events/2026/06/11/youth-summit-2026-future-works-designing-jobs-for-the-digital-age</w:t>
        </w:r>
      </w:hyperlink>
    </w:p>
    <w:p>
      <w:pPr>
        <w:pStyle w:val="BodyText"/>
      </w:pPr>
      <w:hyperlink r:id="rId23">
        <w:r>
          <w:rPr>
            <w:rStyle w:val="Hyperlink"/>
          </w:rPr>
          <w:t xml:space="preserve">[2]</w:t>
        </w:r>
      </w:hyperlink>
      <w:r>
        <w:t xml:space="preserve"> </w:t>
      </w:r>
      <w:hyperlink r:id="rId23">
        <w:r>
          <w:rPr>
            <w:rStyle w:val="Hyperlink"/>
          </w:rPr>
          <w:t xml:space="preserve">[15]</w:t>
        </w:r>
      </w:hyperlink>
      <w:r>
        <w:t xml:space="preserve"> </w:t>
      </w:r>
      <w:hyperlink r:id="rId23">
        <w:r>
          <w:rPr>
            <w:rStyle w:val="Hyperlink"/>
          </w:rPr>
          <w:t xml:space="preserve">[32]</w:t>
        </w:r>
      </w:hyperlink>
      <w:r>
        <w:t xml:space="preserve"> </w:t>
      </w:r>
      <w:r>
        <w:t xml:space="preserve">https://iiasa.ac.at/models-tools-data/wcde</w:t>
      </w:r>
    </w:p>
    <w:p>
      <w:pPr>
        <w:pStyle w:val="BodyText"/>
      </w:pPr>
      <w:hyperlink r:id="rId23">
        <w:r>
          <w:rPr>
            <w:rStyle w:val="Hyperlink"/>
          </w:rPr>
          <w:t xml:space="preserve">https://iiasa.ac.at/models-tools-data/wcde</w:t>
        </w:r>
      </w:hyperlink>
    </w:p>
    <w:p>
      <w:pPr>
        <w:pStyle w:val="BodyText"/>
      </w:pPr>
      <w:hyperlink r:id="rId24">
        <w:r>
          <w:rPr>
            <w:rStyle w:val="Hyperlink"/>
          </w:rPr>
          <w:t xml:space="preserve">[3]</w:t>
        </w:r>
      </w:hyperlink>
      <w:r>
        <w:t xml:space="preserve"> </w:t>
      </w:r>
      <w:hyperlink r:id="rId24">
        <w:r>
          <w:rPr>
            <w:rStyle w:val="Hyperlink"/>
          </w:rPr>
          <w:t xml:space="preserve">[26]</w:t>
        </w:r>
      </w:hyperlink>
      <w:r>
        <w:t xml:space="preserve"> </w:t>
      </w:r>
      <w:hyperlink r:id="rId24">
        <w:r>
          <w:rPr>
            <w:rStyle w:val="Hyperlink"/>
          </w:rPr>
          <w:t xml:space="preserve">[29]</w:t>
        </w:r>
      </w:hyperlink>
      <w:r>
        <w:t xml:space="preserve"> </w:t>
      </w:r>
      <w:hyperlink r:id="rId24">
        <w:r>
          <w:rPr>
            <w:rStyle w:val="Hyperlink"/>
          </w:rPr>
          <w:t xml:space="preserve">[35]</w:t>
        </w:r>
      </w:hyperlink>
      <w:r>
        <w:t xml:space="preserve"> </w:t>
      </w:r>
      <w:r>
        <w:t xml:space="preserve">https://www.oxfordmartin.ox.ac.uk/publications/the-future-of-employment</w:t>
      </w:r>
    </w:p>
    <w:p>
      <w:pPr>
        <w:pStyle w:val="BodyText"/>
      </w:pPr>
      <w:hyperlink r:id="rId24">
        <w:r>
          <w:rPr>
            <w:rStyle w:val="Hyperlink"/>
          </w:rPr>
          <w:t xml:space="preserve">https://www.oxfordmartin.ox.ac.uk/publications/the-future-of-employment</w:t>
        </w:r>
      </w:hyperlink>
    </w:p>
    <w:p>
      <w:pPr>
        <w:pStyle w:val="BodyText"/>
      </w:pPr>
      <w:hyperlink r:id="rId25">
        <w:r>
          <w:rPr>
            <w:rStyle w:val="Hyperlink"/>
          </w:rPr>
          <w:t xml:space="preserve">[4]</w:t>
        </w:r>
      </w:hyperlink>
      <w:r>
        <w:t xml:space="preserve"> </w:t>
      </w:r>
      <w:hyperlink r:id="rId25">
        <w:r>
          <w:rPr>
            <w:rStyle w:val="Hyperlink"/>
          </w:rPr>
          <w:t xml:space="preserve">[36]</w:t>
        </w:r>
      </w:hyperlink>
      <w:r>
        <w:t xml:space="preserve"> </w:t>
      </w:r>
      <w:r>
        <w:t xml:space="preserve">https://webapps.ilo.org/ilostat-files/Documents/SDMX_User_Guide.pdf</w:t>
      </w:r>
    </w:p>
    <w:p>
      <w:pPr>
        <w:pStyle w:val="BodyText"/>
      </w:pPr>
      <w:hyperlink r:id="rId25">
        <w:r>
          <w:rPr>
            <w:rStyle w:val="Hyperlink"/>
          </w:rPr>
          <w:t xml:space="preserve">https://webapps.ilo.org/ilostat-files/Documents/SDMX_User_Guide.pdf</w:t>
        </w:r>
      </w:hyperlink>
    </w:p>
    <w:p>
      <w:pPr>
        <w:pStyle w:val="BodyText"/>
      </w:pPr>
      <w:hyperlink r:id="rId26">
        <w:r>
          <w:rPr>
            <w:rStyle w:val="Hyperlink"/>
          </w:rPr>
          <w:t xml:space="preserve">[5]</w:t>
        </w:r>
      </w:hyperlink>
      <w:r>
        <w:t xml:space="preserve"> </w:t>
      </w:r>
      <w:hyperlink r:id="rId26">
        <w:r>
          <w:rPr>
            <w:rStyle w:val="Hyperlink"/>
          </w:rPr>
          <w:t xml:space="preserve">[31]</w:t>
        </w:r>
      </w:hyperlink>
      <w:r>
        <w:t xml:space="preserve"> </w:t>
      </w:r>
      <w:r>
        <w:t xml:space="preserve">https://ilostat.ilo.org/topics/wages/</w:t>
      </w:r>
    </w:p>
    <w:p>
      <w:pPr>
        <w:pStyle w:val="BodyText"/>
      </w:pPr>
      <w:hyperlink r:id="rId26">
        <w:r>
          <w:rPr>
            <w:rStyle w:val="Hyperlink"/>
          </w:rPr>
          <w:t xml:space="preserve">https://ilostat.ilo.org/topics/wages/</w:t>
        </w:r>
      </w:hyperlink>
    </w:p>
    <w:p>
      <w:pPr>
        <w:pStyle w:val="BodyText"/>
      </w:pPr>
      <w:hyperlink r:id="rId27">
        <w:r>
          <w:rPr>
            <w:rStyle w:val="Hyperlink"/>
          </w:rPr>
          <w:t xml:space="preserve">[6]</w:t>
        </w:r>
      </w:hyperlink>
      <w:r>
        <w:t xml:space="preserve"> </w:t>
      </w:r>
      <w:hyperlink r:id="rId27">
        <w:r>
          <w:rPr>
            <w:rStyle w:val="Hyperlink"/>
          </w:rPr>
          <w:t xml:space="preserve">[28]</w:t>
        </w:r>
      </w:hyperlink>
      <w:r>
        <w:t xml:space="preserve"> </w:t>
      </w:r>
      <w:r>
        <w:t xml:space="preserve">https://webapps.ilo.org/static/english/intserv/working-papers/wp140/index.html</w:t>
      </w:r>
    </w:p>
    <w:p>
      <w:pPr>
        <w:pStyle w:val="BodyText"/>
      </w:pPr>
      <w:hyperlink r:id="rId27">
        <w:r>
          <w:rPr>
            <w:rStyle w:val="Hyperlink"/>
          </w:rPr>
          <w:t xml:space="preserve">https://webapps.ilo.org/static/english/intserv/working-papers/wp140/index.html</w:t>
        </w:r>
      </w:hyperlink>
    </w:p>
    <w:p>
      <w:pPr>
        <w:pStyle w:val="BodyText"/>
      </w:pPr>
      <w:hyperlink r:id="rId28">
        <w:r>
          <w:rPr>
            <w:rStyle w:val="Hyperlink"/>
          </w:rPr>
          <w:t xml:space="preserve">[7]</w:t>
        </w:r>
      </w:hyperlink>
      <w:r>
        <w:t xml:space="preserve"> </w:t>
      </w:r>
      <w:hyperlink r:id="rId28">
        <w:r>
          <w:rPr>
            <w:rStyle w:val="Hyperlink"/>
          </w:rPr>
          <w:t xml:space="preserve">[18]</w:t>
        </w:r>
      </w:hyperlink>
      <w:r>
        <w:t xml:space="preserve"> </w:t>
      </w:r>
      <w:hyperlink r:id="rId28">
        <w:r>
          <w:rPr>
            <w:rStyle w:val="Hyperlink"/>
          </w:rPr>
          <w:t xml:space="preserve">[34]</w:t>
        </w:r>
      </w:hyperlink>
      <w:r>
        <w:t xml:space="preserve"> </w:t>
      </w:r>
      <w:r>
        <w:t xml:space="preserve">https://microdata.worldbank.org/index.php/catalog/step</w:t>
      </w:r>
    </w:p>
    <w:p>
      <w:pPr>
        <w:pStyle w:val="BodyText"/>
      </w:pPr>
      <w:hyperlink r:id="rId28">
        <w:r>
          <w:rPr>
            <w:rStyle w:val="Hyperlink"/>
          </w:rPr>
          <w:t xml:space="preserve">https://microdata.worldbank.org/index.php/catalog/step</w:t>
        </w:r>
      </w:hyperlink>
    </w:p>
    <w:p>
      <w:pPr>
        <w:pStyle w:val="BodyText"/>
      </w:pPr>
      <w:hyperlink r:id="rId29">
        <w:r>
          <w:rPr>
            <w:rStyle w:val="Hyperlink"/>
          </w:rPr>
          <w:t xml:space="preserve">[8]</w:t>
        </w:r>
      </w:hyperlink>
      <w:r>
        <w:t xml:space="preserve"> </w:t>
      </w:r>
      <w:hyperlink r:id="rId29">
        <w:r>
          <w:rPr>
            <w:rStyle w:val="Hyperlink"/>
          </w:rPr>
          <w:t xml:space="preserve">[11]</w:t>
        </w:r>
      </w:hyperlink>
      <w:r>
        <w:t xml:space="preserve"> </w:t>
      </w:r>
      <w:hyperlink r:id="rId29">
        <w:r>
          <w:rPr>
            <w:rStyle w:val="Hyperlink"/>
          </w:rPr>
          <w:t xml:space="preserve">[25]</w:t>
        </w:r>
      </w:hyperlink>
      <w:r>
        <w:t xml:space="preserve"> </w:t>
      </w:r>
      <w:r>
        <w:t xml:space="preserve">https://ilostat.ilo.org/methods/concepts-and-definitions/classification-occupation/</w:t>
      </w:r>
    </w:p>
    <w:p>
      <w:pPr>
        <w:pStyle w:val="BodyText"/>
      </w:pPr>
      <w:hyperlink r:id="rId29">
        <w:r>
          <w:rPr>
            <w:rStyle w:val="Hyperlink"/>
          </w:rPr>
          <w:t xml:space="preserve">https://ilostat.ilo.org/methods/concepts-and-definitions/classification-occupation/</w:t>
        </w:r>
      </w:hyperlink>
    </w:p>
    <w:p>
      <w:pPr>
        <w:pStyle w:val="BodyText"/>
      </w:pPr>
      <w:hyperlink r:id="rId31">
        <w:r>
          <w:rPr>
            <w:rStyle w:val="Hyperlink"/>
          </w:rPr>
          <w:t xml:space="preserve">[9]</w:t>
        </w:r>
      </w:hyperlink>
      <w:r>
        <w:t xml:space="preserve"> </w:t>
      </w:r>
      <w:r>
        <w:t xml:space="preserve">https://www.ilo.org/publications/international-standard-classification-occupations-2008-isco-08-structure</w:t>
      </w:r>
    </w:p>
    <w:p>
      <w:pPr>
        <w:pStyle w:val="BodyText"/>
      </w:pPr>
      <w:hyperlink r:id="rId31">
        <w:r>
          <w:rPr>
            <w:rStyle w:val="Hyperlink"/>
          </w:rPr>
          <w:t xml:space="preserve">https://www.ilo.org/publications/international-standard-classification-occupations-2008-isco-08-structure</w:t>
        </w:r>
      </w:hyperlink>
    </w:p>
    <w:p>
      <w:pPr>
        <w:pStyle w:val="BodyText"/>
      </w:pPr>
      <w:hyperlink r:id="rId32">
        <w:r>
          <w:rPr>
            <w:rStyle w:val="Hyperlink"/>
          </w:rPr>
          <w:t xml:space="preserve">[10]</w:t>
        </w:r>
      </w:hyperlink>
      <w:r>
        <w:t xml:space="preserve"> </w:t>
      </w:r>
      <w:hyperlink r:id="rId32">
        <w:r>
          <w:rPr>
            <w:rStyle w:val="Hyperlink"/>
          </w:rPr>
          <w:t xml:space="preserve">[17]</w:t>
        </w:r>
      </w:hyperlink>
      <w:r>
        <w:t xml:space="preserve"> </w:t>
      </w:r>
      <w:r>
        <w:t xml:space="preserve">What is ESCO? | European Skills, Competences ...</w:t>
      </w:r>
    </w:p>
    <w:p>
      <w:pPr>
        <w:pStyle w:val="BodyText"/>
      </w:pPr>
      <w:hyperlink r:id="rId32">
        <w:r>
          <w:rPr>
            <w:rStyle w:val="Hyperlink"/>
          </w:rPr>
          <w:t xml:space="preserve">https://esco.ec.europa.eu/en/about-esco/what-esco?utm_source=chatgpt.com</w:t>
        </w:r>
      </w:hyperlink>
    </w:p>
    <w:p>
      <w:pPr>
        <w:pStyle w:val="BodyText"/>
      </w:pPr>
      <w:hyperlink r:id="rId34">
        <w:r>
          <w:rPr>
            <w:rStyle w:val="Hyperlink"/>
          </w:rPr>
          <w:t xml:space="preserve">[12]</w:t>
        </w:r>
      </w:hyperlink>
      <w:r>
        <w:t xml:space="preserve"> </w:t>
      </w:r>
      <w:hyperlink r:id="rId34">
        <w:r>
          <w:rPr>
            <w:rStyle w:val="Hyperlink"/>
          </w:rPr>
          <w:t xml:space="preserve">[24]</w:t>
        </w:r>
      </w:hyperlink>
      <w:r>
        <w:t xml:space="preserve"> </w:t>
      </w:r>
      <w:r>
        <w:t xml:space="preserve">https://ilostat.ilo.org/</w:t>
      </w:r>
    </w:p>
    <w:p>
      <w:pPr>
        <w:pStyle w:val="BodyText"/>
      </w:pPr>
      <w:hyperlink r:id="rId34">
        <w:r>
          <w:rPr>
            <w:rStyle w:val="Hyperlink"/>
          </w:rPr>
          <w:t xml:space="preserve">https://ilostat.ilo.org/</w:t>
        </w:r>
      </w:hyperlink>
    </w:p>
    <w:p>
      <w:pPr>
        <w:pStyle w:val="BodyText"/>
      </w:pPr>
      <w:hyperlink r:id="rId35">
        <w:r>
          <w:rPr>
            <w:rStyle w:val="Hyperlink"/>
          </w:rPr>
          <w:t xml:space="preserve">[13]</w:t>
        </w:r>
      </w:hyperlink>
      <w:r>
        <w:t xml:space="preserve"> </w:t>
      </w:r>
      <w:hyperlink r:id="rId35">
        <w:r>
          <w:rPr>
            <w:rStyle w:val="Hyperlink"/>
          </w:rPr>
          <w:t xml:space="preserve">[20]</w:t>
        </w:r>
      </w:hyperlink>
      <w:r>
        <w:t xml:space="preserve"> </w:t>
      </w:r>
      <w:r>
        <w:t xml:space="preserve">https://datahelpdesk.worldbank.org/knowledgebase/articles/889392-about-the-indicators-api-documentation</w:t>
      </w:r>
    </w:p>
    <w:p>
      <w:pPr>
        <w:pStyle w:val="BodyText"/>
      </w:pPr>
      <w:hyperlink r:id="rId35">
        <w:r>
          <w:rPr>
            <w:rStyle w:val="Hyperlink"/>
          </w:rPr>
          <w:t xml:space="preserve">https://datahelpdesk.worldbank.org/knowledgebase/articles/889392-about-the-indicators-api-documentation</w:t>
        </w:r>
      </w:hyperlink>
    </w:p>
    <w:p>
      <w:pPr>
        <w:pStyle w:val="BodyText"/>
      </w:pPr>
      <w:hyperlink r:id="rId36">
        <w:r>
          <w:rPr>
            <w:rStyle w:val="Hyperlink"/>
          </w:rPr>
          <w:t xml:space="preserve">[14]</w:t>
        </w:r>
      </w:hyperlink>
      <w:r>
        <w:t xml:space="preserve"> </w:t>
      </w:r>
      <w:r>
        <w:t xml:space="preserve">https://worldbank.github.io/gld/Support/A%20-%20Guides%20and%20Documentation/GLD%20Manual%20Files/Introduction%20to%20the%20GLD.html</w:t>
      </w:r>
    </w:p>
    <w:p>
      <w:pPr>
        <w:pStyle w:val="BodyText"/>
      </w:pPr>
      <w:hyperlink r:id="rId36">
        <w:r>
          <w:rPr>
            <w:rStyle w:val="Hyperlink"/>
          </w:rPr>
          <w:t xml:space="preserve">https://worldbank.github.io/gld/Support/A%20-%20Guides%20and%20Documentation/GLD%20Manual%20Files/Introduction%20to%20the%20GLD.html</w:t>
        </w:r>
      </w:hyperlink>
    </w:p>
    <w:p>
      <w:pPr>
        <w:pStyle w:val="BodyText"/>
      </w:pPr>
      <w:hyperlink r:id="rId38">
        <w:r>
          <w:rPr>
            <w:rStyle w:val="Hyperlink"/>
          </w:rPr>
          <w:t xml:space="preserve">[16]</w:t>
        </w:r>
      </w:hyperlink>
      <w:r>
        <w:t xml:space="preserve"> </w:t>
      </w:r>
      <w:r>
        <w:t xml:space="preserve">https://datahub.itu.int/</w:t>
      </w:r>
    </w:p>
    <w:p>
      <w:pPr>
        <w:pStyle w:val="BodyText"/>
      </w:pPr>
      <w:hyperlink r:id="rId38">
        <w:r>
          <w:rPr>
            <w:rStyle w:val="Hyperlink"/>
          </w:rPr>
          <w:t xml:space="preserve">https://datahub.itu.int/</w:t>
        </w:r>
      </w:hyperlink>
    </w:p>
    <w:p>
      <w:pPr>
        <w:pStyle w:val="BodyText"/>
      </w:pPr>
      <w:hyperlink r:id="rId41">
        <w:r>
          <w:rPr>
            <w:rStyle w:val="Hyperlink"/>
          </w:rPr>
          <w:t xml:space="preserve">[21]</w:t>
        </w:r>
      </w:hyperlink>
      <w:r>
        <w:t xml:space="preserve"> </w:t>
      </w:r>
      <w:r>
        <w:t xml:space="preserve">https://docs.lovable.dev/tips-tricks/deployment-hosting-ownership</w:t>
      </w:r>
    </w:p>
    <w:p>
      <w:pPr>
        <w:pStyle w:val="BodyText"/>
      </w:pPr>
      <w:hyperlink r:id="rId41">
        <w:r>
          <w:rPr>
            <w:rStyle w:val="Hyperlink"/>
          </w:rPr>
          <w:t xml:space="preserve">https://docs.lovable.dev/tips-tricks/deployment-hosting-ownership</w:t>
        </w:r>
      </w:hyperlink>
    </w:p>
    <w:p>
      <w:pPr>
        <w:pStyle w:val="BodyText"/>
      </w:pPr>
      <w:hyperlink r:id="rId42">
        <w:r>
          <w:rPr>
            <w:rStyle w:val="Hyperlink"/>
          </w:rPr>
          <w:t xml:space="preserve">[22]</w:t>
        </w:r>
      </w:hyperlink>
      <w:r>
        <w:t xml:space="preserve"> </w:t>
      </w:r>
      <w:r>
        <w:t xml:space="preserve">https://vercel.com/docs/postgres</w:t>
      </w:r>
    </w:p>
    <w:p>
      <w:pPr>
        <w:pStyle w:val="BodyText"/>
      </w:pPr>
      <w:hyperlink r:id="rId42">
        <w:r>
          <w:rPr>
            <w:rStyle w:val="Hyperlink"/>
          </w:rPr>
          <w:t xml:space="preserve">https://vercel.com/docs/postgres</w:t>
        </w:r>
      </w:hyperlink>
    </w:p>
    <w:p>
      <w:pPr>
        <w:pStyle w:val="BodyText"/>
      </w:pPr>
      <w:hyperlink r:id="rId43">
        <w:r>
          <w:rPr>
            <w:rStyle w:val="Hyperlink"/>
          </w:rPr>
          <w:t xml:space="preserve">[23]</w:t>
        </w:r>
      </w:hyperlink>
      <w:r>
        <w:t xml:space="preserve"> </w:t>
      </w:r>
      <w:r>
        <w:t xml:space="preserve">https://vercel.com/docs/ai-sdk</w:t>
      </w:r>
    </w:p>
    <w:p>
      <w:pPr>
        <w:pStyle w:val="BodyText"/>
      </w:pPr>
      <w:hyperlink r:id="rId43">
        <w:r>
          <w:rPr>
            <w:rStyle w:val="Hyperlink"/>
          </w:rPr>
          <w:t xml:space="preserve">https://vercel.com/docs/ai-sdk</w:t>
        </w:r>
      </w:hyperlink>
    </w:p>
    <w:p>
      <w:pPr>
        <w:pStyle w:val="BodyText"/>
      </w:pPr>
      <w:hyperlink r:id="rId44">
        <w:r>
          <w:rPr>
            <w:rStyle w:val="Hyperlink"/>
          </w:rPr>
          <w:t xml:space="preserve">[27]</w:t>
        </w:r>
      </w:hyperlink>
      <w:r>
        <w:t xml:space="preserve"> </w:t>
      </w:r>
      <w:r>
        <w:t xml:space="preserve">https://docs.tavily.com/documentation/api-reference/introduction</w:t>
      </w:r>
    </w:p>
    <w:p>
      <w:pPr>
        <w:pStyle w:val="BodyText"/>
      </w:pPr>
      <w:hyperlink r:id="rId44">
        <w:r>
          <w:rPr>
            <w:rStyle w:val="Hyperlink"/>
          </w:rPr>
          <w:t xml:space="preserve">https://docs.tavily.com/documentation/api-reference/introduction</w:t>
        </w:r>
      </w:hyperlink>
    </w:p>
    <w:p>
      <w:pPr>
        <w:pStyle w:val="BodyText"/>
      </w:pPr>
      <w:hyperlink r:id="rId47">
        <w:r>
          <w:rPr>
            <w:rStyle w:val="Hyperlink"/>
          </w:rPr>
          <w:t xml:space="preserve">[30]</w:t>
        </w:r>
      </w:hyperlink>
      <w:r>
        <w:t xml:space="preserve"> </w:t>
      </w:r>
      <w:r>
        <w:t xml:space="preserve">https://www.ilo.org/publications/buffer-or-bottleneck-employment-exposure-generative-ai-and-digital-divide</w:t>
      </w:r>
    </w:p>
    <w:p>
      <w:pPr>
        <w:pStyle w:val="BodyText"/>
      </w:pPr>
      <w:hyperlink r:id="rId47">
        <w:r>
          <w:rPr>
            <w:rStyle w:val="Hyperlink"/>
          </w:rPr>
          <w:t xml:space="preserve">https://www.ilo.org/publications/buffer-or-bottleneck-employment-exposure-generative-ai-and-digital-divide</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atahelpdesk.worldbank.org/knowledgebase/articles/889392-about-the-indicators-api-documentation" TargetMode="External" /><Relationship Type="http://schemas.openxmlformats.org/officeDocument/2006/relationships/hyperlink" Id="rId38" Target="https://datahub.itu.int/" TargetMode="External" /><Relationship Type="http://schemas.openxmlformats.org/officeDocument/2006/relationships/hyperlink" Id="rId41" Target="https://docs.lovable.dev/tips-tricks/deployment-hosting-ownership" TargetMode="External" /><Relationship Type="http://schemas.openxmlformats.org/officeDocument/2006/relationships/hyperlink" Id="rId44" Target="https://docs.tavily.com/documentation/api-reference/introduction" TargetMode="External" /><Relationship Type="http://schemas.openxmlformats.org/officeDocument/2006/relationships/hyperlink" Id="rId32" Target="https://esco.ec.europa.eu/en/about-esco/what-esco?utm_source=chatgpt.com" TargetMode="External" /><Relationship Type="http://schemas.openxmlformats.org/officeDocument/2006/relationships/hyperlink" Id="rId23" Target="https://iiasa.ac.at/models-tools-data/wcde" TargetMode="External" /><Relationship Type="http://schemas.openxmlformats.org/officeDocument/2006/relationships/hyperlink" Id="rId34" Target="https://ilostat.ilo.org/" TargetMode="External" /><Relationship Type="http://schemas.openxmlformats.org/officeDocument/2006/relationships/hyperlink" Id="rId29" Target="https://ilostat.ilo.org/methods/concepts-and-definitions/classification-occupation/" TargetMode="External" /><Relationship Type="http://schemas.openxmlformats.org/officeDocument/2006/relationships/hyperlink" Id="rId26" Target="https://ilostat.ilo.org/topics/wages/" TargetMode="External" /><Relationship Type="http://schemas.openxmlformats.org/officeDocument/2006/relationships/hyperlink" Id="rId28" Target="https://microdata.worldbank.org/index.php/catalog/step" TargetMode="External" /><Relationship Type="http://schemas.openxmlformats.org/officeDocument/2006/relationships/hyperlink" Id="rId43" Target="https://vercel.com/docs/ai-sdk" TargetMode="External" /><Relationship Type="http://schemas.openxmlformats.org/officeDocument/2006/relationships/hyperlink" Id="rId42" Target="https://vercel.com/docs/postgres" TargetMode="External" /><Relationship Type="http://schemas.openxmlformats.org/officeDocument/2006/relationships/hyperlink" Id="rId25" Target="https://webapps.ilo.org/ilostat-files/Documents/SDMX_User_Guide.pdf" TargetMode="External" /><Relationship Type="http://schemas.openxmlformats.org/officeDocument/2006/relationships/hyperlink" Id="rId27" Target="https://webapps.ilo.org/static/english/intserv/working-papers/wp140/index.html" TargetMode="External" /><Relationship Type="http://schemas.openxmlformats.org/officeDocument/2006/relationships/hyperlink" Id="rId36" Target="https://worldbank.github.io/gld/Support/A%20-%20Guides%20and%20Documentation/GLD%20Manual%20Files/Introduction%20to%20the%20GLD.html" TargetMode="External" /><Relationship Type="http://schemas.openxmlformats.org/officeDocument/2006/relationships/hyperlink" Id="rId47" Target="https://www.ilo.org/publications/buffer-or-bottleneck-employment-exposure-generative-ai-and-digital-divide" TargetMode="External" /><Relationship Type="http://schemas.openxmlformats.org/officeDocument/2006/relationships/hyperlink" Id="rId31" Target="https://www.ilo.org/publications/international-standard-classification-occupations-2008-isco-08-structure" TargetMode="External" /><Relationship Type="http://schemas.openxmlformats.org/officeDocument/2006/relationships/hyperlink" Id="rId24" Target="https://www.oxfordmartin.ox.ac.uk/publications/the-future-of-employment" TargetMode="External" /><Relationship Type="http://schemas.openxmlformats.org/officeDocument/2006/relationships/hyperlink" Id="rId21" Target="https://www.worldbank.org/en/events/2026/06/11/youth-summit-2026-future-works-designing-jobs-for-the-digital-age" TargetMode="External" /></Relationships>
</file>

<file path=word/_rels/footnotes.xml.rels><?xml version="1.0" encoding="UTF-8"?><Relationships xmlns="http://schemas.openxmlformats.org/package/2006/relationships"><Relationship Type="http://schemas.openxmlformats.org/officeDocument/2006/relationships/hyperlink" Id="rId35" Target="https://datahelpdesk.worldbank.org/knowledgebase/articles/889392-about-the-indicators-api-documentation" TargetMode="External" /><Relationship Type="http://schemas.openxmlformats.org/officeDocument/2006/relationships/hyperlink" Id="rId38" Target="https://datahub.itu.int/" TargetMode="External" /><Relationship Type="http://schemas.openxmlformats.org/officeDocument/2006/relationships/hyperlink" Id="rId41" Target="https://docs.lovable.dev/tips-tricks/deployment-hosting-ownership" TargetMode="External" /><Relationship Type="http://schemas.openxmlformats.org/officeDocument/2006/relationships/hyperlink" Id="rId44" Target="https://docs.tavily.com/documentation/api-reference/introduction" TargetMode="External" /><Relationship Type="http://schemas.openxmlformats.org/officeDocument/2006/relationships/hyperlink" Id="rId32" Target="https://esco.ec.europa.eu/en/about-esco/what-esco?utm_source=chatgpt.com" TargetMode="External" /><Relationship Type="http://schemas.openxmlformats.org/officeDocument/2006/relationships/hyperlink" Id="rId23" Target="https://iiasa.ac.at/models-tools-data/wcde" TargetMode="External" /><Relationship Type="http://schemas.openxmlformats.org/officeDocument/2006/relationships/hyperlink" Id="rId34" Target="https://ilostat.ilo.org/" TargetMode="External" /><Relationship Type="http://schemas.openxmlformats.org/officeDocument/2006/relationships/hyperlink" Id="rId29" Target="https://ilostat.ilo.org/methods/concepts-and-definitions/classification-occupation/" TargetMode="External" /><Relationship Type="http://schemas.openxmlformats.org/officeDocument/2006/relationships/hyperlink" Id="rId26" Target="https://ilostat.ilo.org/topics/wages/" TargetMode="External" /><Relationship Type="http://schemas.openxmlformats.org/officeDocument/2006/relationships/hyperlink" Id="rId28" Target="https://microdata.worldbank.org/index.php/catalog/step" TargetMode="External" /><Relationship Type="http://schemas.openxmlformats.org/officeDocument/2006/relationships/hyperlink" Id="rId43" Target="https://vercel.com/docs/ai-sdk" TargetMode="External" /><Relationship Type="http://schemas.openxmlformats.org/officeDocument/2006/relationships/hyperlink" Id="rId42" Target="https://vercel.com/docs/postgres" TargetMode="External" /><Relationship Type="http://schemas.openxmlformats.org/officeDocument/2006/relationships/hyperlink" Id="rId25" Target="https://webapps.ilo.org/ilostat-files/Documents/SDMX_User_Guide.pdf" TargetMode="External" /><Relationship Type="http://schemas.openxmlformats.org/officeDocument/2006/relationships/hyperlink" Id="rId27" Target="https://webapps.ilo.org/static/english/intserv/working-papers/wp140/index.html" TargetMode="External" /><Relationship Type="http://schemas.openxmlformats.org/officeDocument/2006/relationships/hyperlink" Id="rId36" Target="https://worldbank.github.io/gld/Support/A%20-%20Guides%20and%20Documentation/GLD%20Manual%20Files/Introduction%20to%20the%20GLD.html" TargetMode="External" /><Relationship Type="http://schemas.openxmlformats.org/officeDocument/2006/relationships/hyperlink" Id="rId47" Target="https://www.ilo.org/publications/buffer-or-bottleneck-employment-exposure-generative-ai-and-digital-divide" TargetMode="External" /><Relationship Type="http://schemas.openxmlformats.org/officeDocument/2006/relationships/hyperlink" Id="rId31" Target="https://www.ilo.org/publications/international-standard-classification-occupations-2008-isco-08-structure" TargetMode="External" /><Relationship Type="http://schemas.openxmlformats.org/officeDocument/2006/relationships/hyperlink" Id="rId24" Target="https://www.oxfordmartin.ox.ac.uk/publications/the-future-of-employment" TargetMode="External" /><Relationship Type="http://schemas.openxmlformats.org/officeDocument/2006/relationships/hyperlink" Id="rId21" Target="https://www.worldbank.org/en/events/2026/06/11/youth-summit-2026-future-works-designing-jobs-for-the-digital-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2026-04-25T22:27:34Z</dcterms:created>
  <dcterms:modified xsi:type="dcterms:W3CDTF">2026-04-25T22:27:34Z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