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7FF732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冻土深度推算</w:t>
      </w:r>
    </w:p>
    <w:p w14:paraId="312471B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最大冻土深度</w:t>
      </w:r>
    </w:p>
    <w:p w14:paraId="5811635A">
      <w:pPr>
        <w:spacing w:line="600" w:lineRule="exact"/>
        <w:ind w:firstLine="480" w:firstLineChars="200"/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从上一年7月到当年6月这一年度的每日观测到的</w:t>
      </w:r>
      <w:r>
        <w:rPr>
          <w:rFonts w:hint="eastAsia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冻土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深度记录中选取一个最大值，作为当年的最大</w:t>
      </w:r>
      <w:r>
        <w:rPr>
          <w:rFonts w:hint="eastAsia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冻土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深度，再从历年的记录中挑取一个最大值，即为最大</w:t>
      </w:r>
      <w:r>
        <w:rPr>
          <w:rFonts w:hint="eastAsia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冻土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深度。历年最大</w:t>
      </w:r>
      <w:r>
        <w:rPr>
          <w:rFonts w:hint="eastAsia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冻土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深度见表1。{{station_name}}{{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num_years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}}年（{{st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art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_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year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}}—{{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end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_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year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}}年）的最大</w:t>
      </w:r>
      <w:r>
        <w:rPr>
          <w:rFonts w:hint="eastAsia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冻土深度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为{{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max_snow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}}cm。</w:t>
      </w:r>
    </w:p>
    <w:p w14:paraId="23F81B7C">
      <w:pPr>
        <w:spacing w:line="240" w:lineRule="auto"/>
        <w:ind w:firstLine="0" w:firstLineChars="0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表1 {{station_name}}历年（{{st</w:t>
      </w:r>
      <w:r>
        <w:rPr>
          <w:rFonts w:hint="eastAsia" w:ascii="Times New Roman" w:hAnsi="Times New Roman" w:eastAsia="仿宋" w:cs="Times New Roman"/>
          <w:color w:val="000000"/>
          <w:sz w:val="22"/>
          <w:szCs w:val="22"/>
          <w:lang w:val="en-US" w:eastAsia="zh-CN"/>
        </w:rPr>
        <w:t>art</w:t>
      </w: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_</w:t>
      </w:r>
      <w:r>
        <w:rPr>
          <w:rFonts w:hint="eastAsia" w:ascii="Times New Roman" w:hAnsi="Times New Roman" w:eastAsia="仿宋" w:cs="Times New Roman"/>
          <w:color w:val="000000"/>
          <w:sz w:val="22"/>
          <w:szCs w:val="22"/>
          <w:lang w:val="en-US" w:eastAsia="zh-CN"/>
        </w:rPr>
        <w:t>year</w:t>
      </w: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}}年-{{</w:t>
      </w:r>
      <w:r>
        <w:rPr>
          <w:rFonts w:hint="eastAsia" w:ascii="Times New Roman" w:hAnsi="Times New Roman" w:eastAsia="仿宋" w:cs="Times New Roman"/>
          <w:color w:val="000000"/>
          <w:sz w:val="22"/>
          <w:szCs w:val="22"/>
          <w:lang w:val="en-US" w:eastAsia="zh-CN"/>
        </w:rPr>
        <w:t>end</w:t>
      </w: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_</w:t>
      </w:r>
      <w:r>
        <w:rPr>
          <w:rFonts w:hint="eastAsia" w:ascii="Times New Roman" w:hAnsi="Times New Roman" w:eastAsia="仿宋" w:cs="Times New Roman"/>
          <w:color w:val="000000"/>
          <w:sz w:val="22"/>
          <w:szCs w:val="22"/>
          <w:lang w:val="en-US" w:eastAsia="zh-CN"/>
        </w:rPr>
        <w:t>year</w:t>
      </w: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}}年）最大</w:t>
      </w:r>
      <w:r>
        <w:rPr>
          <w:rFonts w:hint="eastAsia" w:cs="Times New Roman"/>
          <w:color w:val="000000"/>
          <w:sz w:val="22"/>
          <w:szCs w:val="22"/>
          <w:lang w:val="en-US" w:eastAsia="zh-CN"/>
        </w:rPr>
        <w:t>冻土</w:t>
      </w: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深度</w:t>
      </w:r>
      <w:r>
        <w:rPr>
          <w:rFonts w:hint="eastAsia" w:ascii="Times New Roman" w:hAnsi="Times New Roman" w:eastAsia="仿宋" w:cs="Times New Roman"/>
          <w:color w:val="000000"/>
          <w:sz w:val="22"/>
          <w:szCs w:val="22"/>
          <w:lang w:val="en-US" w:eastAsia="zh-CN"/>
        </w:rPr>
        <w:t>（单位：cm）</w:t>
      </w:r>
    </w:p>
    <w:p w14:paraId="3DDAED01">
      <w:pPr>
        <w:spacing w:line="600" w:lineRule="exact"/>
        <w:ind w:firstLine="480" w:firstLineChars="200"/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采用{{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methods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}}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法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对{{station_name}}{{num_years}}年最大</w:t>
      </w:r>
      <w:r>
        <w:rPr>
          <w:rFonts w:hint="eastAsia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冻土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深度进行极值分析，气象站历年最大</w:t>
      </w:r>
      <w:r>
        <w:rPr>
          <w:rFonts w:hint="eastAsia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冻土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深度序列资料中，若有部分年份的最大</w:t>
      </w:r>
      <w:r>
        <w:rPr>
          <w:rFonts w:hint="eastAsia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冻土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深度为0cm，可采用比例法来进行频率转换，转换公式为:</w:t>
      </w:r>
    </w:p>
    <w:p w14:paraId="38497274">
      <w:pPr>
        <w:spacing w:line="600" w:lineRule="exact"/>
        <w:ind w:firstLine="480" w:firstLineChars="200"/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m:oMathPara>
        <m:oMath>
          <m:sSub>
            <m:sSubPr>
              <m:ctrlPr>
                <w:rPr>
                  <w:rFonts w:hint="default" w:ascii="Cambria Math" w:hAnsi="Cambria Math" w:eastAsia="仿宋_GB2312"/>
                  <w:color w:val="000000" w:themeColor="text1"/>
                  <w:sz w:val="24"/>
                  <w:szCs w:val="22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仿宋_GB2312"/>
                  <w:color w:val="000000" w:themeColor="text1"/>
                  <w:sz w:val="24"/>
                  <w:szCs w:val="22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  <m:t>P</m:t>
              </m:r>
              <m:ctrlPr>
                <w:rPr>
                  <w:rFonts w:hint="default" w:ascii="Cambria Math" w:hAnsi="Cambria Math" w:eastAsia="仿宋_GB2312"/>
                  <w:color w:val="000000" w:themeColor="text1"/>
                  <w:sz w:val="24"/>
                  <w:szCs w:val="22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仿宋_GB2312"/>
                  <w:color w:val="000000" w:themeColor="text1"/>
                  <w:sz w:val="24"/>
                  <w:szCs w:val="22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  <m:t>k</m:t>
              </m:r>
              <m:ctrlPr>
                <w:rPr>
                  <w:rFonts w:hint="default" w:ascii="Cambria Math" w:hAnsi="Cambria Math" w:eastAsia="仿宋_GB2312"/>
                  <w:color w:val="000000" w:themeColor="text1"/>
                  <w:sz w:val="24"/>
                  <w:szCs w:val="22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eastAsia="仿宋_GB2312"/>
              <w:color w:val="000000" w:themeColor="text1"/>
              <w:sz w:val="24"/>
              <w:szCs w:val="22"/>
              <w:lang w:val="en-US" w:eastAsia="zh-CN"/>
              <w14:textFill>
                <w14:solidFill>
                  <w14:schemeClr w14:val="tx1"/>
                </w14:solidFill>
              </w14:textFill>
            </w:rPr>
            <m:t>=</m:t>
          </m:r>
          <m:sSub>
            <m:sSubPr>
              <m:ctrlPr>
                <w:rPr>
                  <w:rFonts w:hint="default" w:ascii="Cambria Math" w:hAnsi="Cambria Math" w:eastAsia="仿宋_GB2312"/>
                  <w:color w:val="000000" w:themeColor="text1"/>
                  <w:sz w:val="24"/>
                  <w:szCs w:val="22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仿宋_GB2312"/>
                  <w:color w:val="000000" w:themeColor="text1"/>
                  <w:sz w:val="24"/>
                  <w:szCs w:val="22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  <m:t>P</m:t>
              </m:r>
              <m:ctrlPr>
                <w:rPr>
                  <w:rFonts w:hint="default" w:ascii="Cambria Math" w:hAnsi="Cambria Math" w:eastAsia="仿宋_GB2312"/>
                  <w:color w:val="000000" w:themeColor="text1"/>
                  <w:sz w:val="24"/>
                  <w:szCs w:val="22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仿宋_GB2312"/>
                  <w:color w:val="000000" w:themeColor="text1"/>
                  <w:sz w:val="24"/>
                  <w:szCs w:val="22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  <m:t>n</m:t>
              </m:r>
              <m:ctrlPr>
                <w:rPr>
                  <w:rFonts w:hint="default" w:ascii="Cambria Math" w:hAnsi="Cambria Math" w:eastAsia="仿宋_GB2312"/>
                  <w:color w:val="000000" w:themeColor="text1"/>
                  <w:sz w:val="24"/>
                  <w:szCs w:val="22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eastAsia="仿宋_GB2312"/>
              <w:color w:val="000000" w:themeColor="text1"/>
              <w:sz w:val="24"/>
              <w:szCs w:val="22"/>
              <w:lang w:val="en-US" w:eastAsia="zh-CN"/>
              <w14:textFill>
                <w14:solidFill>
                  <w14:schemeClr w14:val="tx1"/>
                </w14:solidFill>
              </w14:textFill>
            </w:rPr>
            <m:t>×</m:t>
          </m:r>
          <m:f>
            <m:fPr>
              <m:ctrlPr>
                <w:rPr>
                  <w:rFonts w:hint="default" w:ascii="Cambria Math" w:hAnsi="Cambria Math" w:eastAsia="仿宋_GB2312"/>
                  <w:color w:val="000000" w:themeColor="text1"/>
                  <w:sz w:val="24"/>
                  <w:szCs w:val="22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eastAsia="仿宋_GB2312"/>
                  <w:color w:val="000000" w:themeColor="text1"/>
                  <w:sz w:val="24"/>
                  <w:szCs w:val="22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  <m:t>n+1</m:t>
              </m:r>
              <m:ctrlPr>
                <w:rPr>
                  <w:rFonts w:hint="default" w:ascii="Cambria Math" w:hAnsi="Cambria Math" w:eastAsia="仿宋_GB2312"/>
                  <w:color w:val="000000" w:themeColor="text1"/>
                  <w:sz w:val="24"/>
                  <w:szCs w:val="22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eastAsia="仿宋_GB2312"/>
                  <w:color w:val="000000" w:themeColor="text1"/>
                  <w:sz w:val="24"/>
                  <w:szCs w:val="22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  <m:t>k+1</m:t>
              </m:r>
              <m:ctrlPr>
                <w:rPr>
                  <w:rFonts w:hint="default" w:ascii="Cambria Math" w:hAnsi="Cambria Math" w:eastAsia="仿宋_GB2312"/>
                  <w:color w:val="000000" w:themeColor="text1"/>
                  <w:sz w:val="24"/>
                  <w:szCs w:val="22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</m:ctrlPr>
            </m:den>
          </m:f>
        </m:oMath>
      </m:oMathPara>
    </w:p>
    <w:p w14:paraId="377EAEAA">
      <w:pPr>
        <w:spacing w:line="600" w:lineRule="exact"/>
        <w:ind w:firstLine="480" w:firstLineChars="200"/>
        <w:rPr>
          <w:rFonts w:hint="default" w:ascii="Times New Roman" w:hAnsi="Times New Roman" w:eastAsia="仿宋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式中</w:t>
      </w:r>
      <m:oMath>
        <m:sSub>
          <m:sSubPr>
            <m:ctrlPr>
              <w:rPr>
                <w:rFonts w:hint="default" w:ascii="Cambria Math" w:hAnsi="Cambria Math" w:eastAsia="仿宋_GB2312"/>
                <w:color w:val="000000" w:themeColor="text1"/>
                <w:sz w:val="24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仿宋_GB2312"/>
                <w:color w:val="000000" w:themeColor="text1"/>
                <w:sz w:val="24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P</m:t>
            </m:r>
            <m:ctrlPr>
              <w:rPr>
                <w:rFonts w:hint="default" w:ascii="Cambria Math" w:hAnsi="Cambria Math" w:eastAsia="仿宋_GB2312"/>
                <w:color w:val="000000" w:themeColor="text1"/>
                <w:sz w:val="24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仿宋_GB2312"/>
                <w:color w:val="000000" w:themeColor="text1"/>
                <w:sz w:val="24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k</m:t>
            </m:r>
            <m:ctrlPr>
              <w:rPr>
                <w:rFonts w:hint="default" w:ascii="Cambria Math" w:hAnsi="Cambria Math" w:eastAsia="仿宋_GB2312"/>
                <w:color w:val="000000" w:themeColor="text1"/>
                <w:sz w:val="24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仿宋_GB2312"/>
            <w:color w:val="000000" w:themeColor="text1"/>
            <w:sz w:val="24"/>
            <w:szCs w:val="22"/>
            <w:lang w:val="en-US" w:eastAsia="zh-CN"/>
            <w14:textFill>
              <w14:solidFill>
                <w14:schemeClr w14:val="tx1"/>
              </w14:solidFill>
            </w14:textFill>
          </w:rPr>
          <m:t>、</m:t>
        </m:r>
        <m:sSub>
          <m:sSubPr>
            <m:ctrlPr>
              <w:rPr>
                <w:rFonts w:hint="default" w:ascii="Cambria Math" w:hAnsi="Cambria Math" w:eastAsia="仿宋_GB2312"/>
                <w:color w:val="000000" w:themeColor="text1"/>
                <w:sz w:val="24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仿宋_GB2312"/>
                <w:color w:val="000000" w:themeColor="text1"/>
                <w:sz w:val="24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P</m:t>
            </m:r>
            <m:ctrlPr>
              <w:rPr>
                <w:rFonts w:hint="default" w:ascii="Cambria Math" w:hAnsi="Cambria Math" w:eastAsia="仿宋_GB2312"/>
                <w:color w:val="000000" w:themeColor="text1"/>
                <w:sz w:val="24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仿宋_GB2312"/>
                <w:color w:val="000000" w:themeColor="text1"/>
                <w:sz w:val="24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hint="default" w:ascii="Cambria Math" w:hAnsi="Cambria Math" w:eastAsia="仿宋_GB2312"/>
                <w:color w:val="000000" w:themeColor="text1"/>
                <w:sz w:val="24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分别为</w:t>
      </w:r>
      <w:r>
        <w:rPr>
          <w:rFonts w:hint="eastAsia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冻土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深度大于0cm年数频率和降雪总年数频率；k为</w:t>
      </w:r>
      <w:r>
        <w:rPr>
          <w:rFonts w:hint="eastAsia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冻土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深度大于0cm的年数，n为总年数，计算结果如图1所示。推算结果见表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。{{station_name}}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五十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年一遇最大</w:t>
      </w:r>
      <w:r>
        <w:rPr>
          <w:rFonts w:hint="eastAsia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冻土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深度为{{snow_50_G}}cm，百年一遇</w:t>
      </w:r>
      <w:r>
        <w:rPr>
          <w:rFonts w:hint="eastAsia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冻土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深度为{{snow_100_G}}cm。</w:t>
      </w:r>
    </w:p>
    <w:p w14:paraId="43ACE800">
      <w:pPr>
        <w:spacing w:line="240" w:lineRule="auto"/>
        <w:ind w:firstLine="0" w:firstLineChars="0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{{picture_gd}}</w:t>
      </w:r>
    </w:p>
    <w:p w14:paraId="1BF671D2">
      <w:pPr>
        <w:spacing w:line="240" w:lineRule="auto"/>
        <w:jc w:val="center"/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图1 </w:t>
      </w:r>
      <w:r>
        <w:rPr>
          <w:rFonts w:hint="eastAsia" w:eastAsia="黑体" w:cs="Times New Roman"/>
          <w:color w:val="000000"/>
          <w:sz w:val="21"/>
          <w:szCs w:val="21"/>
          <w:lang w:val="en-US" w:eastAsia="zh-CN"/>
        </w:rPr>
        <w:t>冻土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深度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methods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}}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分布拟合曲线</w:t>
      </w:r>
    </w:p>
    <w:p w14:paraId="2F4E7230">
      <w:pPr>
        <w:spacing w:line="240" w:lineRule="auto"/>
        <w:jc w:val="center"/>
        <w:rPr>
          <w:rFonts w:hint="eastAsia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表2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不同重现期最大</w:t>
      </w:r>
      <w:r>
        <w:rPr>
          <w:rFonts w:hint="eastAsia" w:eastAsia="黑体" w:cs="Times New Roman"/>
          <w:color w:val="000000"/>
          <w:sz w:val="21"/>
          <w:szCs w:val="21"/>
          <w:lang w:val="en-US" w:eastAsia="zh-CN"/>
        </w:rPr>
        <w:t>冻土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深度（单位：cm）</w:t>
      </w:r>
    </w:p>
    <w:p w14:paraId="18755848">
      <w:pPr>
        <w:rPr>
          <w:rFonts w:hint="eastAsia"/>
          <w:lang w:val="en-US" w:eastAsia="zh-CN"/>
        </w:rPr>
      </w:pPr>
      <w:bookmarkStart w:id="0" w:name="_GoBack"/>
      <w:bookmarkEnd w:id="0"/>
    </w:p>
    <w:p w14:paraId="397BD854">
      <w:pPr>
        <w:rPr>
          <w:rFonts w:hint="eastAsia"/>
          <w:lang w:val="en-US" w:eastAsia="zh-CN"/>
        </w:rPr>
      </w:pPr>
    </w:p>
    <w:p w14:paraId="6C76B84F">
      <w:pPr>
        <w:rPr>
          <w:rFonts w:hint="eastAsia"/>
          <w:lang w:val="en-US" w:eastAsia="zh-CN"/>
        </w:rPr>
      </w:pPr>
    </w:p>
    <w:p w14:paraId="4B3F302B">
      <w:pPr>
        <w:rPr>
          <w:rFonts w:hint="eastAsia"/>
          <w:lang w:val="en-US" w:eastAsia="zh-CN"/>
        </w:rPr>
      </w:pPr>
    </w:p>
    <w:p w14:paraId="3D9C8751">
      <w:pPr>
        <w:rPr>
          <w:rFonts w:hint="eastAsia"/>
          <w:lang w:val="en-US" w:eastAsia="zh-CN"/>
        </w:rPr>
      </w:pPr>
    </w:p>
    <w:p w14:paraId="0792ECD6">
      <w:pPr>
        <w:rPr>
          <w:rFonts w:hint="eastAsia"/>
          <w:lang w:val="en-US" w:eastAsia="zh-CN"/>
        </w:rPr>
      </w:pPr>
    </w:p>
    <w:p w14:paraId="6F9D17B1">
      <w:pPr>
        <w:rPr>
          <w:rFonts w:hint="eastAsia"/>
          <w:lang w:val="en-US" w:eastAsia="zh-CN"/>
        </w:rPr>
      </w:pPr>
    </w:p>
    <w:p w14:paraId="1375989F">
      <w:pPr>
        <w:rPr>
          <w:rFonts w:hint="eastAsia"/>
          <w:lang w:val="en-US" w:eastAsia="zh-CN"/>
        </w:rPr>
      </w:pPr>
    </w:p>
    <w:p w14:paraId="7B9FAC93">
      <w:pPr>
        <w:rPr>
          <w:rFonts w:hint="default"/>
          <w:lang w:val="en-US" w:eastAsia="zh-CN"/>
        </w:rPr>
      </w:pPr>
    </w:p>
    <w:p w14:paraId="557296B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8FFF93"/>
    <w:multiLevelType w:val="multilevel"/>
    <w:tmpl w:val="D08FFF93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 w:ascii="仿宋" w:hAnsi="仿宋"/>
      </w:rPr>
    </w:lvl>
    <w:lvl w:ilvl="1" w:tentative="0">
      <w:start w:val="1"/>
      <w:numFmt w:val="decimal"/>
      <w:pStyle w:val="2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Times New Roman" w:hAnsi="Times New Roman"/>
        <w:b/>
      </w:rPr>
    </w:lvl>
    <w:lvl w:ilvl="2" w:tentative="0">
      <w:start w:val="1"/>
      <w:numFmt w:val="decimal"/>
      <w:pStyle w:val="3"/>
      <w:suff w:val="space"/>
      <w:lvlText w:val="%1.%2.%3."/>
      <w:lvlJc w:val="left"/>
      <w:pPr>
        <w:tabs>
          <w:tab w:val="left" w:pos="0"/>
        </w:tabs>
        <w:ind w:left="720" w:hanging="720"/>
      </w:pPr>
      <w:rPr>
        <w:rFonts w:hint="default" w:ascii="Times New Roman" w:hAnsi="Times New Roman" w:eastAsia="仿宋" w:cs="Times New Roman"/>
        <w:b/>
        <w:bCs w:val="0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 w:ascii="仿宋" w:hAnsi="仿宋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 w:ascii="仿宋" w:hAnsi="仿宋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 w:ascii="仿宋" w:hAnsi="仿宋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E73E1B"/>
    <w:rsid w:val="2F0D7070"/>
    <w:rsid w:val="3C463BC1"/>
    <w:rsid w:val="615E2556"/>
    <w:rsid w:val="63E7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Times New Roman" w:hAnsi="Times New Roman" w:eastAsia="仿宋"/>
      <w:b/>
      <w:sz w:val="28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ind w:left="720" w:hanging="720"/>
      <w:outlineLvl w:val="2"/>
    </w:pPr>
    <w:rPr>
      <w:rFonts w:ascii="Times New Roman" w:hAnsi="Times New Roman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334</Words>
  <Characters>582</Characters>
  <Lines>0</Lines>
  <Paragraphs>0</Paragraphs>
  <TotalTime>0</TotalTime>
  <ScaleCrop>false</ScaleCrop>
  <LinksUpToDate>false</LinksUpToDate>
  <CharactersWithSpaces>585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2025-09-01T07:17:00Z</dcterms:created>
  <dc:creator>呆木</dc:creator>
  <cp:lastModifiedBy>呆木</cp:lastModifiedBy>
  <dcterms:modified xsi:type="dcterms:W3CDTF">2025-09-01T07:42:48Z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B688BABE5A344779A14EC23888F0350E_11</vt:lpwstr>
  </property>
  <property fmtid="{D5CDD505-2E9C-101B-9397-08002B2CF9AE}" pid="4" name="KSOTemplateDocerSaveRecord">
    <vt:lpwstr>eyJoZGlkIjoiZGYwMzM1OGNiOTQwY2ZmNmU1NWI5YWYwN2JiMzQ4MGUiLCJ1c2VySWQiOiI4OTE0NTE3MTkifQ==</vt:lpwstr>
  </property>
</Properties>
</file>