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E07AD">
      <w:pPr>
        <w:pStyle w:val="2"/>
        <w:bidi w:val="0"/>
        <w:ind w:left="0" w:leftChars="0" w:firstLine="0" w:firstLineChars="0"/>
      </w:pPr>
      <w:r>
        <w:rPr>
          <w:rFonts w:hint="eastAsia"/>
        </w:rPr>
        <w:t>雷电灾害风险评估</w:t>
      </w:r>
    </w:p>
    <w:p w14:paraId="401597FD">
      <w:pPr>
        <w:ind w:left="0" w:leftChars="0" w:firstLine="420" w:firstLineChars="0"/>
        <w:rPr>
          <w:rFonts w:hint="eastAsia"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通过对项目所在位置及周边区域(最小和最大经纬度范围内)的闪电活动时空分布、雷电流强度等特征进行分析，在项目区内地形、土壤、项目属性、人员密度、电子电气系统特征等现场情况，对雷电可能导致的人员伤亡、财产损失程度与危害范围等方面的综合风险进行计算，从而为项目的功能分区布局、防雷类别与防雷措施确定、雷灾事故应急措施提出建议和对策。</w:t>
      </w:r>
    </w:p>
    <w:p w14:paraId="5FA54D8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地闪时间变化</w:t>
      </w:r>
    </w:p>
    <w:p w14:paraId="540E257B"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年变化</w:t>
      </w:r>
    </w:p>
    <w:p w14:paraId="1C52C8F4">
      <w:pPr>
        <w:spacing w:line="560" w:lineRule="exact"/>
        <w:ind w:firstLine="560"/>
        <w:rPr>
          <w:rFonts w:cs="Times New Roman"/>
          <w:sz w:val="24"/>
          <w:szCs w:val="22"/>
        </w:rPr>
      </w:pPr>
      <w:r>
        <w:rPr>
          <w:rFonts w:cs="Times New Roman"/>
          <w:sz w:val="24"/>
          <w:szCs w:val="22"/>
        </w:rPr>
        <w:t>项目所在</w:t>
      </w:r>
      <w:r>
        <w:rPr>
          <w:rFonts w:hint="eastAsia" w:cs="Times New Roman"/>
          <w:sz w:val="24"/>
          <w:szCs w:val="22"/>
        </w:rPr>
        <w:t>及附近区域</w:t>
      </w:r>
      <w:r>
        <w:rPr>
          <w:rFonts w:cs="Times New Roman"/>
          <w:sz w:val="24"/>
          <w:szCs w:val="22"/>
        </w:rPr>
        <w:t>内，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-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年共监测到闪电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total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次，项目所在地附近年度雷电闪击次数呈</w:t>
      </w:r>
      <w:r>
        <w:rPr>
          <w:rFonts w:hint="eastAsia" w:cs="Times New Roman"/>
          <w:sz w:val="24"/>
          <w:szCs w:val="22"/>
        </w:rPr>
        <w:t>显著增加</w:t>
      </w:r>
      <w:r>
        <w:rPr>
          <w:rFonts w:cs="Times New Roman"/>
          <w:sz w:val="24"/>
          <w:szCs w:val="22"/>
        </w:rPr>
        <w:t>趋势。最高次数出现在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年，达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lighty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次；最低次数出现在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年</w:t>
      </w:r>
      <w:r>
        <w:rPr>
          <w:rFonts w:cs="Times New Roman"/>
          <w:sz w:val="24"/>
          <w:szCs w:val="22"/>
        </w:rPr>
        <w:t>，为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lighty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次。</w:t>
      </w:r>
    </w:p>
    <w:p w14:paraId="63348C08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6CB8759A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 {{start_year}}-{{end_year}}年项目附所在地近地闪年际变化</w:t>
      </w:r>
    </w:p>
    <w:p w14:paraId="19B00D71">
      <w:pPr>
        <w:spacing w:line="560" w:lineRule="exact"/>
        <w:ind w:left="0" w:leftChars="0" w:firstLine="0" w:firstLineChars="0"/>
        <w:rPr>
          <w:rFonts w:cs="Times New Roman"/>
          <w:sz w:val="24"/>
          <w:szCs w:val="22"/>
        </w:rPr>
      </w:pPr>
      <w:r>
        <w:rPr>
          <w:rFonts w:cs="Times New Roman"/>
        </w:rPr>
        <w:t>（2）</w:t>
      </w:r>
      <w:r>
        <w:rPr>
          <w:rFonts w:hint="eastAsia" w:cs="Times New Roman"/>
          <w:sz w:val="24"/>
          <w:szCs w:val="22"/>
        </w:rPr>
        <w:t>年内</w:t>
      </w:r>
      <w:r>
        <w:rPr>
          <w:rFonts w:cs="Times New Roman"/>
          <w:sz w:val="24"/>
          <w:szCs w:val="22"/>
        </w:rPr>
        <w:t>变化</w:t>
      </w:r>
    </w:p>
    <w:p w14:paraId="0B76FEE6">
      <w:pPr>
        <w:spacing w:line="560" w:lineRule="exact"/>
        <w:ind w:firstLine="560"/>
        <w:rPr>
          <w:rFonts w:cs="Times New Roman"/>
          <w:sz w:val="24"/>
          <w:szCs w:val="22"/>
        </w:rPr>
      </w:pPr>
      <w:r>
        <w:rPr>
          <w:sz w:val="24"/>
          <w:szCs w:val="22"/>
        </w:rPr>
        <w:t>项目所在地周围</w:t>
      </w:r>
      <w:r>
        <w:rPr>
          <w:rFonts w:hint="eastAsia"/>
          <w:sz w:val="24"/>
          <w:szCs w:val="22"/>
        </w:rPr>
        <w:t>雷电活动主要集中在</w:t>
      </w:r>
      <w:r>
        <w:rPr>
          <w:sz w:val="24"/>
          <w:szCs w:val="22"/>
        </w:rPr>
        <w:t>6-9</w:t>
      </w:r>
      <w:r>
        <w:rPr>
          <w:rFonts w:hint="eastAsia"/>
          <w:sz w:val="24"/>
          <w:szCs w:val="22"/>
          <w:lang w:val="en-US" w:eastAsia="zh-CN"/>
        </w:rPr>
        <w:t>月</w:t>
      </w:r>
      <w:r>
        <w:rPr>
          <w:sz w:val="24"/>
          <w:szCs w:val="22"/>
        </w:rPr>
        <w:t>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light_monthe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sz w:val="24"/>
          <w:szCs w:val="22"/>
        </w:rPr>
        <w:t>月份发生的闪电最多</w:t>
      </w:r>
      <w:r>
        <w:rPr>
          <w:rFonts w:hint="eastAsia"/>
          <w:sz w:val="24"/>
          <w:szCs w:val="22"/>
        </w:rPr>
        <w:t>（年均达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</w:t>
      </w:r>
      <w:r>
        <w:rPr>
          <w:rFonts w:hint="eastAsia" w:eastAsia="仿宋" w:cs="Times New Roman"/>
          <w:sz w:val="24"/>
          <w:szCs w:val="24"/>
          <w:lang w:val="en-US" w:eastAsia="zh-CN"/>
        </w:rPr>
        <w:t>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lightm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</w:rPr>
        <w:t>次）</w:t>
      </w:r>
      <w:r>
        <w:rPr>
          <w:sz w:val="24"/>
          <w:szCs w:val="22"/>
        </w:rPr>
        <w:t>，</w:t>
      </w:r>
      <w:r>
        <w:rPr>
          <w:rFonts w:hint="eastAsia" w:eastAsia="仿宋" w:cs="Times New Roman"/>
          <w:sz w:val="24"/>
          <w:szCs w:val="24"/>
          <w:lang w:val="en-US" w:eastAsia="zh-CN"/>
        </w:rPr>
        <w:t>10</w:t>
      </w:r>
      <w:r>
        <w:rPr>
          <w:sz w:val="24"/>
          <w:szCs w:val="22"/>
        </w:rPr>
        <w:t>月后闪电极少发生。雷电主要出现在夏季</w:t>
      </w:r>
      <w:r>
        <w:rPr>
          <w:rFonts w:hint="eastAsia"/>
          <w:sz w:val="24"/>
          <w:szCs w:val="22"/>
        </w:rPr>
        <w:t>和秋季</w:t>
      </w:r>
      <w:r>
        <w:rPr>
          <w:sz w:val="24"/>
          <w:szCs w:val="22"/>
        </w:rPr>
        <w:t>之，</w:t>
      </w:r>
      <w:r>
        <w:rPr>
          <w:rFonts w:hint="eastAsia"/>
          <w:sz w:val="24"/>
          <w:szCs w:val="22"/>
        </w:rPr>
        <w:t>春</w:t>
      </w:r>
      <w:r>
        <w:rPr>
          <w:sz w:val="24"/>
          <w:szCs w:val="22"/>
        </w:rPr>
        <w:t>冬季的雷电活动较少。主要原因是6-9月份受气候环境影响，易触发局地对流性天气；而</w:t>
      </w:r>
      <w:r>
        <w:rPr>
          <w:rFonts w:hint="eastAsia"/>
          <w:sz w:val="24"/>
          <w:szCs w:val="22"/>
        </w:rPr>
        <w:t>春</w:t>
      </w:r>
      <w:r>
        <w:rPr>
          <w:sz w:val="24"/>
          <w:szCs w:val="22"/>
        </w:rPr>
        <w:t>、冬季节不易触发对流天气，雷电</w:t>
      </w:r>
      <w:r>
        <w:rPr>
          <w:rFonts w:cs="Times New Roman"/>
          <w:sz w:val="24"/>
          <w:szCs w:val="22"/>
        </w:rPr>
        <w:t>活动减少。</w:t>
      </w:r>
    </w:p>
    <w:p w14:paraId="3E127C1F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455502FD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}}年项目所在地附近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雷电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月变化</w:t>
      </w:r>
    </w:p>
    <w:p w14:paraId="6D27FC6D">
      <w:pPr>
        <w:spacing w:line="560" w:lineRule="exact"/>
        <w:ind w:left="0" w:leftChars="0" w:firstLine="0" w:firstLineChars="0"/>
        <w:rPr>
          <w:rFonts w:cs="Times New Roman"/>
        </w:rPr>
      </w:pPr>
      <w:r>
        <w:rPr>
          <w:rFonts w:cs="Times New Roman"/>
        </w:rPr>
        <w:t>（</w:t>
      </w:r>
      <w:r>
        <w:rPr>
          <w:rFonts w:hint="eastAsia" w:cs="Times New Roman"/>
        </w:rPr>
        <w:t>3</w:t>
      </w:r>
      <w:r>
        <w:rPr>
          <w:rFonts w:cs="Times New Roman"/>
        </w:rPr>
        <w:t>）日变化</w:t>
      </w:r>
    </w:p>
    <w:p w14:paraId="1B7ECF99">
      <w:pPr>
        <w:spacing w:line="560" w:lineRule="exact"/>
        <w:ind w:firstLine="560"/>
        <w:rPr>
          <w:sz w:val="24"/>
          <w:szCs w:val="22"/>
        </w:rPr>
      </w:pPr>
      <w:r>
        <w:rPr>
          <w:rFonts w:cs="Times New Roman"/>
          <w:sz w:val="24"/>
          <w:szCs w:val="22"/>
        </w:rPr>
        <w:t>从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-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年项目附近范围内闪</w:t>
      </w:r>
      <w:r>
        <w:rPr>
          <w:rFonts w:hint="eastAsia" w:cs="Times New Roman"/>
          <w:sz w:val="24"/>
          <w:szCs w:val="22"/>
        </w:rPr>
        <w:t>电</w:t>
      </w:r>
      <w:r>
        <w:rPr>
          <w:rFonts w:cs="Times New Roman"/>
          <w:sz w:val="24"/>
          <w:szCs w:val="22"/>
        </w:rPr>
        <w:t>统计数据可知，近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num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年闪电频次日变化呈单峰结构，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light_hour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时</w:t>
      </w:r>
      <w:r>
        <w:rPr>
          <w:sz w:val="24"/>
          <w:szCs w:val="22"/>
        </w:rPr>
        <w:t>发生的闪电最多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  <w:lang w:val="en-US" w:eastAsia="zh-CN"/>
        </w:rPr>
        <w:t>平均发生闪电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lighth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</w:rPr>
        <w:t>次</w:t>
      </w:r>
      <w:r>
        <w:rPr>
          <w:sz w:val="24"/>
          <w:szCs w:val="22"/>
        </w:rPr>
        <w:t>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light_hour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时</w:t>
      </w:r>
      <w:r>
        <w:rPr>
          <w:sz w:val="24"/>
          <w:szCs w:val="22"/>
        </w:rPr>
        <w:t>闪电极少发生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  <w:lang w:val="en-US" w:eastAsia="zh-CN"/>
        </w:rPr>
        <w:t>只有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lighth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</w:rPr>
        <w:t>次</w:t>
      </w:r>
      <w:r>
        <w:rPr>
          <w:sz w:val="24"/>
          <w:szCs w:val="22"/>
        </w:rPr>
        <w:t>。</w:t>
      </w:r>
    </w:p>
    <w:p w14:paraId="7D0CF05D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214D6918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图3 {{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}}年项目所在地附近地闪日变化</w:t>
      </w:r>
    </w:p>
    <w:p w14:paraId="7AB5D2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闪电日数特征</w:t>
      </w:r>
    </w:p>
    <w:p w14:paraId="5799C4A2"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年变化</w:t>
      </w:r>
    </w:p>
    <w:p w14:paraId="441B3D85">
      <w:pPr>
        <w:spacing w:line="560" w:lineRule="exact"/>
        <w:ind w:firstLine="560"/>
        <w:jc w:val="left"/>
        <w:rPr>
          <w:rFonts w:hint="eastAsia" w:cs="Times New Roman"/>
          <w:sz w:val="24"/>
          <w:szCs w:val="22"/>
        </w:rPr>
      </w:pPr>
      <w:r>
        <w:rPr>
          <w:rFonts w:cs="Times New Roman"/>
          <w:sz w:val="24"/>
          <w:szCs w:val="22"/>
        </w:rPr>
        <w:t>项目所在</w:t>
      </w:r>
      <w:r>
        <w:rPr>
          <w:rFonts w:hint="eastAsia" w:cs="Times New Roman"/>
          <w:sz w:val="24"/>
          <w:szCs w:val="22"/>
        </w:rPr>
        <w:t>及附近区域</w:t>
      </w:r>
      <w:r>
        <w:rPr>
          <w:rFonts w:cs="Times New Roman"/>
          <w:sz w:val="24"/>
          <w:szCs w:val="22"/>
        </w:rPr>
        <w:t>内，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-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</w:t>
      </w:r>
      <w:r>
        <w:rPr>
          <w:rFonts w:hint="eastAsia" w:cs="Times New Roman"/>
          <w:sz w:val="24"/>
          <w:szCs w:val="22"/>
        </w:rPr>
        <w:t>均闪电日数为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mean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d，最高</w:t>
      </w:r>
      <w:r>
        <w:rPr>
          <w:rFonts w:hint="eastAsia" w:cs="Times New Roman"/>
          <w:sz w:val="24"/>
          <w:szCs w:val="22"/>
        </w:rPr>
        <w:t>日数</w:t>
      </w:r>
      <w:r>
        <w:rPr>
          <w:rFonts w:cs="Times New Roman"/>
          <w:sz w:val="24"/>
          <w:szCs w:val="22"/>
        </w:rPr>
        <w:t>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light_days_years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cs="Times New Roman"/>
          <w:sz w:val="24"/>
          <w:szCs w:val="22"/>
        </w:rPr>
        <w:t>年，达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天</w:t>
      </w:r>
      <w:r>
        <w:rPr>
          <w:rFonts w:cs="Times New Roman"/>
          <w:sz w:val="24"/>
          <w:szCs w:val="22"/>
        </w:rPr>
        <w:t>；最低次数出现在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light_days_years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年</w:t>
      </w:r>
      <w:r>
        <w:rPr>
          <w:rFonts w:cs="Times New Roman"/>
          <w:sz w:val="24"/>
          <w:szCs w:val="22"/>
        </w:rPr>
        <w:t>，为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light_days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cs="Times New Roman"/>
          <w:sz w:val="24"/>
          <w:szCs w:val="22"/>
        </w:rPr>
        <w:t>天。</w:t>
      </w:r>
    </w:p>
    <w:p w14:paraId="2A0A89EC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01919145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}}年项目附所在地近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闪电日数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年变化</w:t>
      </w:r>
    </w:p>
    <w:p w14:paraId="517BE501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年内变化</w:t>
      </w:r>
    </w:p>
    <w:p w14:paraId="77621D6E"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sz w:val="24"/>
          <w:szCs w:val="22"/>
        </w:rPr>
        <w:t>项目所在地周围</w:t>
      </w:r>
      <w:r>
        <w:rPr>
          <w:rFonts w:hint="eastAsia"/>
          <w:sz w:val="24"/>
          <w:szCs w:val="22"/>
        </w:rPr>
        <w:t>雷电活动</w:t>
      </w:r>
      <w:r>
        <w:rPr>
          <w:rFonts w:hint="eastAsia"/>
          <w:sz w:val="24"/>
          <w:szCs w:val="22"/>
          <w:lang w:val="en-US" w:eastAsia="zh-CN"/>
        </w:rPr>
        <w:t>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light_day_monthe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sz w:val="24"/>
          <w:szCs w:val="22"/>
        </w:rPr>
        <w:t>月份发生的闪电</w:t>
      </w:r>
      <w:r>
        <w:rPr>
          <w:rFonts w:hint="eastAsia"/>
          <w:sz w:val="24"/>
          <w:szCs w:val="22"/>
          <w:lang w:val="en-US" w:eastAsia="zh-CN"/>
        </w:rPr>
        <w:t>日数</w:t>
      </w:r>
      <w:r>
        <w:rPr>
          <w:sz w:val="24"/>
          <w:szCs w:val="22"/>
        </w:rPr>
        <w:t>最多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</w:rPr>
        <w:t>年均达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_day_lightm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eastAsia="仿宋"/>
          <w:sz w:val="24"/>
          <w:szCs w:val="22"/>
          <w:lang w:val="en-US" w:eastAsia="zh-CN"/>
        </w:rPr>
        <w:t>天</w:t>
      </w:r>
      <w:r>
        <w:rPr>
          <w:sz w:val="24"/>
          <w:szCs w:val="22"/>
        </w:rPr>
        <w:t>，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light_day_monthe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sz w:val="24"/>
          <w:szCs w:val="22"/>
        </w:rPr>
        <w:t>月闪电</w:t>
      </w:r>
      <w:r>
        <w:rPr>
          <w:rFonts w:hint="eastAsia"/>
          <w:sz w:val="24"/>
          <w:szCs w:val="22"/>
          <w:lang w:val="en-US" w:eastAsia="zh-CN"/>
        </w:rPr>
        <w:t>日数最少，只有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_day_lightm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/>
          <w:sz w:val="24"/>
          <w:szCs w:val="22"/>
          <w:lang w:val="en-US" w:eastAsia="zh-CN"/>
        </w:rPr>
        <w:t>天。</w:t>
      </w:r>
    </w:p>
    <w:p w14:paraId="434C5D78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5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2AE706C6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}}-{{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end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year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}}年项目附所在地近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闪电日数月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3D701622">
      <w:pPr>
        <w:pStyle w:val="13"/>
        <w:spacing w:line="240" w:lineRule="auto"/>
        <w:ind w:firstLine="480"/>
        <w:jc w:val="both"/>
      </w:pPr>
    </w:p>
    <w:p w14:paraId="6CD425F3">
      <w:pPr>
        <w:pStyle w:val="13"/>
        <w:spacing w:line="240" w:lineRule="auto"/>
        <w:jc w:val="both"/>
      </w:pPr>
    </w:p>
    <w:p w14:paraId="2DD05C89">
      <w:pPr>
        <w:pStyle w:val="13"/>
        <w:spacing w:line="240" w:lineRule="auto"/>
        <w:ind w:left="0" w:leftChars="0" w:firstLine="0" w:firstLineChars="0"/>
        <w:jc w:val="both"/>
      </w:pPr>
    </w:p>
    <w:p w14:paraId="2118E8AF">
      <w:pPr>
        <w:pStyle w:val="3"/>
        <w:bidi w:val="0"/>
      </w:pPr>
      <w:r>
        <w:t>雷电流参数</w:t>
      </w:r>
    </w:p>
    <w:p w14:paraId="53A352DF">
      <w:pPr>
        <w:ind w:firstLine="560"/>
        <w:rPr>
          <w:sz w:val="24"/>
          <w:szCs w:val="22"/>
        </w:rPr>
      </w:pPr>
      <w:r>
        <w:rPr>
          <w:sz w:val="24"/>
          <w:szCs w:val="22"/>
        </w:rPr>
        <w:t>根据IEC推荐的雷电流累积概率模型，拟合计算出项目附近</w:t>
      </w:r>
      <w:r>
        <w:rPr>
          <w:rFonts w:hint="eastAsia"/>
          <w:sz w:val="24"/>
          <w:szCs w:val="22"/>
        </w:rPr>
        <w:t>区域</w:t>
      </w:r>
      <w:r>
        <w:rPr>
          <w:sz w:val="24"/>
          <w:szCs w:val="22"/>
        </w:rPr>
        <w:t>内雷电流幅值累积概率曲线拟合参数及曲线图分别如下：</w:t>
      </w:r>
    </w:p>
    <w:p w14:paraId="3BAF11EC">
      <w:pPr>
        <w:spacing w:line="240" w:lineRule="auto"/>
        <w:ind w:firstLine="560"/>
        <w:rPr>
          <w:rFonts w:cs="Times New Roman"/>
          <w:sz w:val="24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2"/>
            </w:rPr>
            <m:t>P=1/[1+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sz w:val="24"/>
                      <w:szCs w:val="22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4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2"/>
                </w:rPr>
                <m:t>b</m:t>
              </m:r>
              <m:ctrlPr>
                <w:rPr>
                  <w:rFonts w:ascii="Cambria Math" w:hAnsi="Cambria Math" w:cs="Times New Roman"/>
                  <w:sz w:val="24"/>
                  <w:szCs w:val="22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22"/>
            </w:rPr>
            <m:t>]</m:t>
          </m:r>
        </m:oMath>
      </m:oMathPara>
    </w:p>
    <w:p w14:paraId="464F6D91">
      <w:pPr>
        <w:spacing w:line="560" w:lineRule="exact"/>
        <w:ind w:firstLine="560"/>
        <w:rPr>
          <w:rFonts w:cs="Times New Roman"/>
          <w:sz w:val="24"/>
          <w:szCs w:val="22"/>
        </w:rPr>
      </w:pPr>
      <w:r>
        <w:rPr>
          <w:rFonts w:cs="Times New Roman"/>
          <w:sz w:val="24"/>
          <w:szCs w:val="22"/>
        </w:rPr>
        <w:t>其中a=</w:t>
      </w:r>
      <w:r>
        <w:rPr>
          <w:rFonts w:hint="eastAsia" w:cs="Times New Roman"/>
          <w:sz w:val="24"/>
          <w:szCs w:val="22"/>
        </w:rPr>
        <w:t>{{</w:t>
      </w:r>
      <w:r>
        <w:rPr>
          <w:rFonts w:hint="eastAsia" w:cs="Times New Roman"/>
          <w:sz w:val="24"/>
          <w:szCs w:val="22"/>
          <w:lang w:val="en-US" w:eastAsia="zh-CN"/>
        </w:rPr>
        <w:t>data</w:t>
      </w:r>
      <w:r>
        <w:rPr>
          <w:rFonts w:hint="eastAsia" w:cs="Times New Roman"/>
          <w:sz w:val="24"/>
          <w:szCs w:val="22"/>
        </w:rPr>
        <w:t>_</w:t>
      </w:r>
      <w:r>
        <w:rPr>
          <w:rFonts w:hint="eastAsia" w:cs="Times New Roman"/>
          <w:sz w:val="24"/>
          <w:szCs w:val="22"/>
          <w:lang w:val="en-US" w:eastAsia="zh-CN"/>
        </w:rPr>
        <w:t>1</w:t>
      </w:r>
      <w:r>
        <w:rPr>
          <w:rFonts w:hint="eastAsia" w:cs="Times New Roman"/>
          <w:sz w:val="24"/>
          <w:szCs w:val="22"/>
        </w:rPr>
        <w:t>}}，</w:t>
      </w:r>
      <w:r>
        <w:rPr>
          <w:rFonts w:cs="Times New Roman"/>
          <w:sz w:val="24"/>
          <w:szCs w:val="22"/>
        </w:rPr>
        <w:t>b=</w:t>
      </w:r>
      <w:r>
        <w:rPr>
          <w:rFonts w:hint="eastAsia" w:cs="Times New Roman"/>
          <w:sz w:val="24"/>
          <w:szCs w:val="22"/>
        </w:rPr>
        <w:t>{{</w:t>
      </w:r>
      <w:r>
        <w:rPr>
          <w:rFonts w:hint="eastAsia" w:cs="Times New Roman"/>
          <w:sz w:val="24"/>
          <w:szCs w:val="22"/>
          <w:lang w:val="en-US" w:eastAsia="zh-CN"/>
        </w:rPr>
        <w:t>data</w:t>
      </w:r>
      <w:r>
        <w:rPr>
          <w:rFonts w:hint="eastAsia" w:cs="Times New Roman"/>
          <w:sz w:val="24"/>
          <w:szCs w:val="22"/>
        </w:rPr>
        <w:t>_</w:t>
      </w:r>
      <w:r>
        <w:rPr>
          <w:rFonts w:hint="eastAsia" w:cs="Times New Roman"/>
          <w:sz w:val="24"/>
          <w:szCs w:val="22"/>
          <w:lang w:val="en-US" w:eastAsia="zh-CN"/>
        </w:rPr>
        <w:t>2</w:t>
      </w:r>
      <w:r>
        <w:rPr>
          <w:rFonts w:hint="eastAsia" w:cs="Times New Roman"/>
          <w:sz w:val="24"/>
          <w:szCs w:val="22"/>
        </w:rPr>
        <w:t>}}</w:t>
      </w:r>
      <w:r>
        <w:rPr>
          <w:rFonts w:cs="Times New Roman"/>
          <w:sz w:val="24"/>
          <w:szCs w:val="22"/>
        </w:rPr>
        <w:t>。</w:t>
      </w:r>
    </w:p>
    <w:p w14:paraId="3A21C4B1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6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4466DBEB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项目附近雷电密度分布图</w:t>
      </w:r>
    </w:p>
    <w:p w14:paraId="0288BE68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24F5E6C1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项目附近雷电流幅值累积概率曲线图</w:t>
      </w:r>
    </w:p>
    <w:p w14:paraId="633E20FC">
      <w:pPr>
        <w:pStyle w:val="3"/>
        <w:bidi w:val="0"/>
      </w:pPr>
      <w:bookmarkStart w:id="0" w:name="_Toc162000031"/>
      <w:r>
        <w:rPr>
          <w:rFonts w:hint="eastAsia"/>
        </w:rPr>
        <w:t>雷电电磁环境</w:t>
      </w:r>
      <w:bookmarkEnd w:id="0"/>
    </w:p>
    <w:p w14:paraId="61844ACC">
      <w:pPr>
        <w:spacing w:line="560" w:lineRule="exact"/>
        <w:ind w:firstLine="560"/>
        <w:rPr>
          <w:rFonts w:ascii="Calibri" w:hAnsi="Calibri" w:cs="Times New Roman"/>
          <w:sz w:val="24"/>
          <w:szCs w:val="22"/>
        </w:rPr>
      </w:pPr>
      <w:r>
        <w:rPr>
          <w:rFonts w:hint="eastAsia"/>
          <w:sz w:val="24"/>
          <w:szCs w:val="22"/>
        </w:rPr>
        <w:t>利用项目所在地附近雷电监测数据及项目变电站，计算得出项目所在地出现的平均电磁强度</w:t>
      </w:r>
      <w:r>
        <w:rPr>
          <w:rFonts w:hint="eastAsia"/>
          <w:sz w:val="24"/>
          <w:szCs w:val="22"/>
          <w:lang w:val="en-US" w:eastAsia="zh-CN"/>
        </w:rPr>
        <w:t>分别</w:t>
      </w:r>
      <w:r>
        <w:rPr>
          <w:rFonts w:hint="eastAsia"/>
          <w:sz w:val="24"/>
          <w:szCs w:val="22"/>
        </w:rPr>
        <w:t>为</w:t>
      </w:r>
      <w:r>
        <w:rPr>
          <w:rFonts w:hint="eastAsia" w:cs="Times New Roman"/>
          <w:sz w:val="24"/>
          <w:szCs w:val="22"/>
        </w:rPr>
        <w:t>{{</w:t>
      </w:r>
      <w:r>
        <w:rPr>
          <w:rFonts w:hint="eastAsia" w:cs="Times New Roman"/>
          <w:sz w:val="24"/>
          <w:szCs w:val="22"/>
          <w:lang w:val="en-US" w:eastAsia="zh-CN"/>
        </w:rPr>
        <w:t>data</w:t>
      </w:r>
      <w:r>
        <w:rPr>
          <w:rFonts w:hint="eastAsia" w:cs="Times New Roman"/>
          <w:sz w:val="24"/>
          <w:szCs w:val="22"/>
        </w:rPr>
        <w:t>_</w:t>
      </w:r>
      <w:r>
        <w:rPr>
          <w:rFonts w:hint="eastAsia" w:cs="Times New Roman"/>
          <w:sz w:val="24"/>
          <w:szCs w:val="22"/>
          <w:lang w:val="en-US" w:eastAsia="zh-CN"/>
        </w:rPr>
        <w:t>3</w:t>
      </w:r>
      <w:r>
        <w:rPr>
          <w:rFonts w:hint="eastAsia" w:cs="Times New Roman"/>
          <w:sz w:val="24"/>
          <w:szCs w:val="22"/>
        </w:rPr>
        <w:t>}}A/m</w:t>
      </w:r>
      <w:r>
        <w:rPr>
          <w:rFonts w:hint="eastAsia" w:ascii="Calibri" w:hAnsi="Calibri" w:cs="Times New Roman"/>
          <w:sz w:val="24"/>
          <w:szCs w:val="22"/>
        </w:rPr>
        <w:t>。</w:t>
      </w:r>
    </w:p>
    <w:p w14:paraId="2C4FD0CC">
      <w:pPr>
        <w:pStyle w:val="13"/>
        <w:spacing w:line="240" w:lineRule="auto"/>
        <w:ind w:left="0" w:leftChars="0" w:firstLine="0" w:firstLineChars="0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sz w:val="22"/>
          <w:szCs w:val="22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8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42E386B8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8</w:t>
      </w:r>
      <w:bookmarkStart w:id="1" w:name="_GoBack"/>
      <w:bookmarkEnd w:id="1"/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项目所在地雷电电磁场强度分布图</w:t>
      </w:r>
    </w:p>
    <w:p w14:paraId="3C344E93">
      <w:pPr>
        <w:spacing w:line="560" w:lineRule="exact"/>
        <w:ind w:left="0" w:leftChars="0" w:firstLine="0" w:firstLineChars="0"/>
        <w:rPr>
          <w:rFonts w:cs="Times New Roman"/>
        </w:rPr>
      </w:pPr>
    </w:p>
    <w:p w14:paraId="0222F202">
      <w:pPr>
        <w:pStyle w:val="13"/>
        <w:spacing w:line="240" w:lineRule="auto"/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CBB72"/>
    <w:multiLevelType w:val="singleLevel"/>
    <w:tmpl w:val="B80CBB7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9DD3B1"/>
    <w:multiLevelType w:val="multilevel"/>
    <w:tmpl w:val="EF9DD3B1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62B3FBC8"/>
    <w:multiLevelType w:val="singleLevel"/>
    <w:tmpl w:val="62B3FB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72165AB"/>
    <w:rsid w:val="128456AC"/>
    <w:rsid w:val="172165AB"/>
    <w:rsid w:val="191F0D9E"/>
    <w:rsid w:val="197477FF"/>
    <w:rsid w:val="1B074773"/>
    <w:rsid w:val="24AF1369"/>
    <w:rsid w:val="378B012F"/>
    <w:rsid w:val="3A6B4EAD"/>
    <w:rsid w:val="3FEC6723"/>
    <w:rsid w:val="423F7EC6"/>
    <w:rsid w:val="490F7238"/>
    <w:rsid w:val="4B58121B"/>
    <w:rsid w:val="57750940"/>
    <w:rsid w:val="596B0B42"/>
    <w:rsid w:val="5A895ED1"/>
    <w:rsid w:val="5DE352BC"/>
    <w:rsid w:val="5E116A5B"/>
    <w:rsid w:val="62373BD8"/>
    <w:rsid w:val="6C845EBC"/>
    <w:rsid w:val="71CA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200" w:firstLineChars="20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ind w:left="575" w:hanging="575" w:firstLineChars="0"/>
      <w:outlineLvl w:val="1"/>
    </w:pPr>
    <w:rPr>
      <w:rFonts w:ascii="Times New Roman" w:hAnsi="Times New Roman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720" w:hanging="72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Times New Roman" w:hAnsi="Times New Roman" w:eastAsia="仿宋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818</Words>
  <Characters>1532</Characters>
  <Lines>0</Lines>
  <Paragraphs>0</Paragraphs>
  <TotalTime>7</TotalTime>
  <ScaleCrop>false</ScaleCrop>
  <LinksUpToDate>false</LinksUpToDate>
  <CharactersWithSpaces>1540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2024-07-01T05:37:00Z</dcterms:created>
  <dc:creator>呆木</dc:creator>
  <cp:lastModifiedBy>呆木</cp:lastModifiedBy>
  <dcterms:modified xsi:type="dcterms:W3CDTF">2024-11-05T01:17:54Z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8B8A24A6ABEA42F0A0CD87A0237A03E9_11</vt:lpwstr>
  </property>
</Properties>
</file>