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A7868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风电场风能资源评估</w:t>
      </w:r>
    </w:p>
    <w:p w14:paraId="474614C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测风数据的质量检验</w:t>
      </w:r>
    </w:p>
    <w:p w14:paraId="2E87E9AF">
      <w:pPr>
        <w:spacing w:line="600" w:lineRule="exact"/>
        <w:ind w:firstLine="480" w:firstLineChars="200"/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本阶段按照《风电场风能资源评估方法》（GB/T18710-2002）对风电场测风塔的测风数据进行了完整性、合理性进行判断，剔除由于仪器故障、传输错误、特殊天气等原因造成的不真实数据，合理性检验包括数据极值范围检查、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完整性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等验证和分析。</w:t>
      </w:r>
    </w:p>
    <w:p w14:paraId="06AA452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完整性检验</w:t>
      </w:r>
    </w:p>
    <w:p w14:paraId="19B66F3D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评估期（{{start_year}}年{{start_month}}月～{{end_year}}年{{end_month}}月）内，{{name}}测风塔应有时次{{num_1}}，测风塔完整性情况如下：{{qc}}</w:t>
      </w:r>
    </w:p>
    <w:p w14:paraId="6B16AE5E">
      <w:pPr>
        <w:spacing w:line="360" w:lineRule="auto"/>
        <w:ind w:firstLine="420" w:firstLineChars="200"/>
        <w:jc w:val="center"/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bookmarkStart w:id="0" w:name="_Toc443556261"/>
      <w:bookmarkStart w:id="1" w:name="_Toc417911628"/>
      <w:bookmarkStart w:id="2" w:name="_Toc453333140"/>
      <w:bookmarkStart w:id="3" w:name="_Toc437848522"/>
      <w:bookmarkStart w:id="18" w:name="_GoBack"/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表 1 测风塔评估年缺测时间</w:t>
      </w:r>
      <w:bookmarkEnd w:id="0"/>
      <w:bookmarkEnd w:id="1"/>
      <w:bookmarkEnd w:id="2"/>
      <w:bookmarkEnd w:id="3"/>
    </w:p>
    <w:bookmarkEnd w:id="18"/>
    <w:p w14:paraId="04DACA3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合理性检验</w:t>
      </w:r>
    </w:p>
    <w:p w14:paraId="728115E6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对获取的观测资料进行数据极值范围检查、趋势等合理性及相关性检验。</w:t>
      </w:r>
    </w:p>
    <w:p w14:paraId="38F05854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（1）范围检验</w:t>
      </w:r>
    </w:p>
    <w:p w14:paraId="5068B760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范围检验即判断测量数据取值是否在合理范围之内。规范推荐的主要参数的合理范围见表2。根据东台地区的气候情况，平均气压控制在96kPa到106 kPa之间。平均风速控制40m/s以内。</w:t>
      </w:r>
    </w:p>
    <w:p w14:paraId="17704543">
      <w:pPr>
        <w:spacing w:line="360" w:lineRule="auto"/>
        <w:ind w:firstLine="420" w:firstLineChars="200"/>
        <w:jc w:val="center"/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bookmarkStart w:id="4" w:name="_Toc370396106"/>
      <w:bookmarkStart w:id="5" w:name="_Toc453333141"/>
      <w:bookmarkStart w:id="6" w:name="_Toc336358339"/>
      <w:bookmarkStart w:id="7" w:name="_Toc341687748"/>
      <w:bookmarkStart w:id="8" w:name="_Toc373247611"/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表 2  主要参数的合理范围值</w:t>
      </w:r>
      <w:bookmarkEnd w:id="4"/>
      <w:bookmarkEnd w:id="5"/>
      <w:bookmarkEnd w:id="6"/>
      <w:bookmarkEnd w:id="7"/>
      <w:bookmarkEnd w:id="8"/>
    </w:p>
    <w:tbl>
      <w:tblPr>
        <w:tblStyle w:val="16"/>
        <w:tblW w:w="4675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3103"/>
      </w:tblGrid>
      <w:tr w14:paraId="5186B5F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572" w:type="dxa"/>
            <w:vAlign w:val="center"/>
          </w:tcPr>
          <w:p w14:paraId="58E19BE7">
            <w:pPr>
              <w:spacing w:line="600" w:lineRule="exact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主要参数</w:t>
            </w:r>
          </w:p>
        </w:tc>
        <w:tc>
          <w:tcPr>
            <w:tcW w:w="3103" w:type="dxa"/>
            <w:vAlign w:val="center"/>
          </w:tcPr>
          <w:p w14:paraId="0A3E135A">
            <w:pPr>
              <w:spacing w:line="600" w:lineRule="exact"/>
              <w:ind w:firstLine="420" w:firstLineChars="200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合理取值范围</w:t>
            </w:r>
          </w:p>
        </w:tc>
      </w:tr>
      <w:tr w14:paraId="722E662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572" w:type="dxa"/>
            <w:vAlign w:val="center"/>
          </w:tcPr>
          <w:p w14:paraId="4F09B1CC">
            <w:pPr>
              <w:spacing w:line="600" w:lineRule="exact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平均风速</w:t>
            </w:r>
          </w:p>
        </w:tc>
        <w:tc>
          <w:tcPr>
            <w:tcW w:w="3103" w:type="dxa"/>
            <w:vAlign w:val="center"/>
          </w:tcPr>
          <w:p w14:paraId="2A68567D">
            <w:pPr>
              <w:spacing w:line="600" w:lineRule="exact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0≤小时平均值＜40m/s</w:t>
            </w:r>
          </w:p>
        </w:tc>
      </w:tr>
      <w:tr w14:paraId="3133BB9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572" w:type="dxa"/>
            <w:vAlign w:val="center"/>
          </w:tcPr>
          <w:p w14:paraId="1A5DCE72">
            <w:pPr>
              <w:spacing w:line="600" w:lineRule="exact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风向</w:t>
            </w:r>
          </w:p>
        </w:tc>
        <w:tc>
          <w:tcPr>
            <w:tcW w:w="3103" w:type="dxa"/>
            <w:vAlign w:val="center"/>
          </w:tcPr>
          <w:p w14:paraId="737522C6">
            <w:pPr>
              <w:spacing w:line="600" w:lineRule="exact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0≤小时平均值＜360</w:t>
            </w:r>
          </w:p>
        </w:tc>
      </w:tr>
      <w:tr w14:paraId="09C00E1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572" w:type="dxa"/>
            <w:vAlign w:val="center"/>
          </w:tcPr>
          <w:p w14:paraId="57762D9E">
            <w:pPr>
              <w:spacing w:line="600" w:lineRule="exact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平均气压</w:t>
            </w:r>
          </w:p>
        </w:tc>
        <w:tc>
          <w:tcPr>
            <w:tcW w:w="3103" w:type="dxa"/>
            <w:vAlign w:val="center"/>
          </w:tcPr>
          <w:p w14:paraId="50544DF6">
            <w:pPr>
              <w:spacing w:line="600" w:lineRule="exact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96kPa≤小时平均值＜106 kPa</w:t>
            </w:r>
          </w:p>
        </w:tc>
      </w:tr>
    </w:tbl>
    <w:p w14:paraId="59D3FCE4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（2）趋势检验</w:t>
      </w:r>
    </w:p>
    <w:p w14:paraId="304A96C2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趋势检验参考值（见表3）：相邻两个时次平均风速不超过6m/s，平均气温变化不超过5℃，平均气压变化不超过1kPa。</w:t>
      </w:r>
    </w:p>
    <w:p w14:paraId="66DD915F">
      <w:pPr>
        <w:spacing w:line="360" w:lineRule="auto"/>
        <w:ind w:firstLine="420" w:firstLineChars="200"/>
        <w:jc w:val="center"/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bookmarkStart w:id="9" w:name="_Toc370396108"/>
      <w:bookmarkStart w:id="10" w:name="_Toc341687750"/>
      <w:bookmarkStart w:id="11" w:name="_Toc453333142"/>
      <w:bookmarkStart w:id="12" w:name="_Toc373247613"/>
      <w:bookmarkStart w:id="13" w:name="_Toc336358341"/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表 3  测风塔主要参数的合理变化趋势参考值</w:t>
      </w:r>
      <w:bookmarkEnd w:id="9"/>
      <w:bookmarkEnd w:id="10"/>
      <w:bookmarkEnd w:id="11"/>
      <w:bookmarkEnd w:id="12"/>
      <w:bookmarkEnd w:id="13"/>
    </w:p>
    <w:tbl>
      <w:tblPr>
        <w:tblStyle w:val="16"/>
        <w:tblW w:w="5475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5"/>
        <w:gridCol w:w="2650"/>
      </w:tblGrid>
      <w:tr w14:paraId="29D31E5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2825" w:type="dxa"/>
            <w:vAlign w:val="center"/>
          </w:tcPr>
          <w:p w14:paraId="5003A01D">
            <w:pPr>
              <w:spacing w:line="600" w:lineRule="exact"/>
              <w:ind w:firstLine="420" w:firstLineChars="200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主要参数</w:t>
            </w:r>
          </w:p>
        </w:tc>
        <w:tc>
          <w:tcPr>
            <w:tcW w:w="2650" w:type="dxa"/>
            <w:vAlign w:val="center"/>
          </w:tcPr>
          <w:p w14:paraId="0FE10F31">
            <w:pPr>
              <w:spacing w:line="600" w:lineRule="exact"/>
              <w:ind w:firstLine="420" w:firstLineChars="200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合理变化趋势</w:t>
            </w:r>
          </w:p>
        </w:tc>
      </w:tr>
      <w:tr w14:paraId="2F6BF9C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2825" w:type="dxa"/>
            <w:vAlign w:val="center"/>
          </w:tcPr>
          <w:p w14:paraId="4A2D5DE7">
            <w:pPr>
              <w:spacing w:line="600" w:lineRule="exact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10分钟平均风速变化</w:t>
            </w:r>
          </w:p>
        </w:tc>
        <w:tc>
          <w:tcPr>
            <w:tcW w:w="2650" w:type="dxa"/>
            <w:vAlign w:val="center"/>
          </w:tcPr>
          <w:p w14:paraId="74B67292">
            <w:pPr>
              <w:spacing w:line="600" w:lineRule="exact"/>
              <w:ind w:firstLine="420" w:firstLineChars="200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&lt;6m/s</w:t>
            </w:r>
          </w:p>
        </w:tc>
      </w:tr>
      <w:tr w14:paraId="0DC25E5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2825" w:type="dxa"/>
            <w:vAlign w:val="center"/>
          </w:tcPr>
          <w:p w14:paraId="1E363A46">
            <w:pPr>
              <w:spacing w:line="600" w:lineRule="exact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10分钟平均温度变化</w:t>
            </w:r>
          </w:p>
        </w:tc>
        <w:tc>
          <w:tcPr>
            <w:tcW w:w="2650" w:type="dxa"/>
            <w:vAlign w:val="center"/>
          </w:tcPr>
          <w:p w14:paraId="467A3561">
            <w:pPr>
              <w:spacing w:line="600" w:lineRule="exact"/>
              <w:ind w:firstLine="420" w:firstLineChars="200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&lt;5℃</w:t>
            </w:r>
          </w:p>
        </w:tc>
      </w:tr>
      <w:tr w14:paraId="4D5832B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2825" w:type="dxa"/>
            <w:vAlign w:val="center"/>
          </w:tcPr>
          <w:p w14:paraId="608EA9B5">
            <w:pPr>
              <w:spacing w:line="600" w:lineRule="exact"/>
              <w:ind w:firstLine="420" w:firstLineChars="200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10分钟平均气压变化</w:t>
            </w:r>
          </w:p>
        </w:tc>
        <w:tc>
          <w:tcPr>
            <w:tcW w:w="2650" w:type="dxa"/>
            <w:vAlign w:val="center"/>
          </w:tcPr>
          <w:p w14:paraId="19A75AA6">
            <w:pPr>
              <w:spacing w:line="600" w:lineRule="exact"/>
              <w:ind w:firstLine="420" w:firstLineChars="200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1kPa</w:t>
            </w:r>
          </w:p>
        </w:tc>
      </w:tr>
    </w:tbl>
    <w:p w14:paraId="1D023020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（3）相关性检验</w:t>
      </w:r>
      <w:bookmarkStart w:id="14" w:name="_Toc341687749"/>
      <w:bookmarkStart w:id="15" w:name="_Toc336358340"/>
    </w:p>
    <w:p w14:paraId="7A1C86BA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根据空气密度、气压和气温的关系式，计算参证站、测风塔的空气密度，同塔连续10分钟空气密度差小于&lt;0.01 kg/m3，与气象站同时刻空气密度差小于&lt;0.02 kg/m3。</w:t>
      </w:r>
    </w:p>
    <w:bookmarkEnd w:id="14"/>
    <w:bookmarkEnd w:id="15"/>
    <w:p w14:paraId="63999457">
      <w:pPr>
        <w:spacing w:line="360" w:lineRule="auto"/>
        <w:ind w:firstLine="420" w:firstLineChars="200"/>
        <w:jc w:val="center"/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bookmarkStart w:id="16" w:name="_Toc453333143"/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表 4 主要参数的合理相关性参考值</w:t>
      </w:r>
      <w:bookmarkEnd w:id="16"/>
    </w:p>
    <w:tbl>
      <w:tblPr>
        <w:tblStyle w:val="16"/>
        <w:tblW w:w="8253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2"/>
        <w:gridCol w:w="1823"/>
        <w:gridCol w:w="2908"/>
      </w:tblGrid>
      <w:tr w14:paraId="2E460A8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3522" w:type="dxa"/>
            <w:vAlign w:val="center"/>
          </w:tcPr>
          <w:p w14:paraId="2F8641F8">
            <w:pPr>
              <w:spacing w:line="600" w:lineRule="exact"/>
              <w:ind w:firstLine="420" w:firstLineChars="200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主要参数</w:t>
            </w:r>
          </w:p>
        </w:tc>
        <w:tc>
          <w:tcPr>
            <w:tcW w:w="1823" w:type="dxa"/>
            <w:vAlign w:val="center"/>
          </w:tcPr>
          <w:p w14:paraId="48CD40AC">
            <w:pPr>
              <w:spacing w:line="600" w:lineRule="exact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合理相关性范围</w:t>
            </w:r>
          </w:p>
        </w:tc>
        <w:tc>
          <w:tcPr>
            <w:tcW w:w="2908" w:type="dxa"/>
          </w:tcPr>
          <w:p w14:paraId="33259F1F">
            <w:pPr>
              <w:spacing w:line="600" w:lineRule="exact"/>
              <w:ind w:firstLine="420" w:firstLineChars="200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备注</w:t>
            </w:r>
          </w:p>
        </w:tc>
      </w:tr>
      <w:tr w14:paraId="6CB0245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3522" w:type="dxa"/>
            <w:vAlign w:val="center"/>
          </w:tcPr>
          <w:p w14:paraId="33D62B1D">
            <w:pPr>
              <w:spacing w:line="600" w:lineRule="exact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100m/90m高度小时平均风速差值</w:t>
            </w:r>
          </w:p>
        </w:tc>
        <w:tc>
          <w:tcPr>
            <w:tcW w:w="1823" w:type="dxa"/>
            <w:vAlign w:val="center"/>
          </w:tcPr>
          <w:p w14:paraId="6B6137ED">
            <w:pPr>
              <w:spacing w:line="600" w:lineRule="exact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＜2.0m/s</w:t>
            </w:r>
          </w:p>
        </w:tc>
        <w:tc>
          <w:tcPr>
            <w:tcW w:w="2908" w:type="dxa"/>
          </w:tcPr>
          <w:p w14:paraId="58CBA135">
            <w:pPr>
              <w:spacing w:line="600" w:lineRule="exact"/>
              <w:ind w:firstLine="420" w:firstLineChars="200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</w:p>
        </w:tc>
      </w:tr>
      <w:tr w14:paraId="092AD6D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3522" w:type="dxa"/>
            <w:vAlign w:val="center"/>
          </w:tcPr>
          <w:p w14:paraId="3CC72FFC">
            <w:pPr>
              <w:spacing w:line="600" w:lineRule="exact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90m/80m高度小时平均风速差值</w:t>
            </w:r>
          </w:p>
        </w:tc>
        <w:tc>
          <w:tcPr>
            <w:tcW w:w="1823" w:type="dxa"/>
            <w:vAlign w:val="center"/>
          </w:tcPr>
          <w:p w14:paraId="6F0197C9">
            <w:pPr>
              <w:spacing w:line="600" w:lineRule="exact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＜2.0m/s</w:t>
            </w:r>
          </w:p>
        </w:tc>
        <w:tc>
          <w:tcPr>
            <w:tcW w:w="2908" w:type="dxa"/>
          </w:tcPr>
          <w:p w14:paraId="24CD58B1">
            <w:pPr>
              <w:spacing w:line="600" w:lineRule="exact"/>
              <w:ind w:firstLine="420" w:firstLineChars="200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</w:p>
        </w:tc>
      </w:tr>
      <w:tr w14:paraId="0EB1FD8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3522" w:type="dxa"/>
            <w:vAlign w:val="center"/>
          </w:tcPr>
          <w:p w14:paraId="08F0F9F1">
            <w:pPr>
              <w:spacing w:line="600" w:lineRule="exact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80m/70m高度小时平均风速差值</w:t>
            </w:r>
          </w:p>
        </w:tc>
        <w:tc>
          <w:tcPr>
            <w:tcW w:w="1823" w:type="dxa"/>
            <w:vAlign w:val="center"/>
          </w:tcPr>
          <w:p w14:paraId="798C54D4">
            <w:pPr>
              <w:spacing w:line="600" w:lineRule="exact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＜2.0m/s</w:t>
            </w:r>
          </w:p>
        </w:tc>
        <w:tc>
          <w:tcPr>
            <w:tcW w:w="2908" w:type="dxa"/>
          </w:tcPr>
          <w:p w14:paraId="14A17A14">
            <w:pPr>
              <w:spacing w:line="600" w:lineRule="exact"/>
              <w:ind w:firstLine="420" w:firstLineChars="200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</w:p>
        </w:tc>
      </w:tr>
      <w:tr w14:paraId="37D1E15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3522" w:type="dxa"/>
            <w:vAlign w:val="center"/>
          </w:tcPr>
          <w:p w14:paraId="4FFD0127">
            <w:pPr>
              <w:spacing w:line="600" w:lineRule="exact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70m/50m高度小时平均风速差值</w:t>
            </w:r>
          </w:p>
        </w:tc>
        <w:tc>
          <w:tcPr>
            <w:tcW w:w="1823" w:type="dxa"/>
            <w:vAlign w:val="center"/>
          </w:tcPr>
          <w:p w14:paraId="1F9A636F">
            <w:pPr>
              <w:spacing w:line="600" w:lineRule="exact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＜2.0m/s</w:t>
            </w:r>
          </w:p>
        </w:tc>
        <w:tc>
          <w:tcPr>
            <w:tcW w:w="2908" w:type="dxa"/>
          </w:tcPr>
          <w:p w14:paraId="0CE9BC8A">
            <w:pPr>
              <w:spacing w:line="600" w:lineRule="exact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50m高度风速≥3.0m/除外</w:t>
            </w:r>
          </w:p>
        </w:tc>
      </w:tr>
      <w:tr w14:paraId="320857A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3522" w:type="dxa"/>
            <w:vAlign w:val="center"/>
          </w:tcPr>
          <w:p w14:paraId="5A26A2DB">
            <w:pPr>
              <w:spacing w:line="600" w:lineRule="exact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50m/30m高度小时平均风速差值</w:t>
            </w:r>
          </w:p>
        </w:tc>
        <w:tc>
          <w:tcPr>
            <w:tcW w:w="1823" w:type="dxa"/>
            <w:vAlign w:val="center"/>
          </w:tcPr>
          <w:p w14:paraId="10749BB4">
            <w:pPr>
              <w:spacing w:line="600" w:lineRule="exact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＜3.0m/s</w:t>
            </w:r>
          </w:p>
        </w:tc>
        <w:tc>
          <w:tcPr>
            <w:tcW w:w="2908" w:type="dxa"/>
          </w:tcPr>
          <w:p w14:paraId="2317532E">
            <w:pPr>
              <w:spacing w:line="600" w:lineRule="exact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30m高度风速≥3.0m/s除外</w:t>
            </w:r>
          </w:p>
        </w:tc>
      </w:tr>
      <w:tr w14:paraId="1F780EF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3522" w:type="dxa"/>
            <w:vAlign w:val="center"/>
          </w:tcPr>
          <w:p w14:paraId="591757F4">
            <w:pPr>
              <w:spacing w:line="600" w:lineRule="exact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50m/10m高度小时平均风速差值</w:t>
            </w:r>
          </w:p>
        </w:tc>
        <w:tc>
          <w:tcPr>
            <w:tcW w:w="1823" w:type="dxa"/>
            <w:vAlign w:val="center"/>
          </w:tcPr>
          <w:p w14:paraId="0A533FBF">
            <w:pPr>
              <w:spacing w:line="600" w:lineRule="exact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＜4.0m/s</w:t>
            </w:r>
          </w:p>
        </w:tc>
        <w:tc>
          <w:tcPr>
            <w:tcW w:w="2908" w:type="dxa"/>
          </w:tcPr>
          <w:p w14:paraId="098F2706">
            <w:pPr>
              <w:spacing w:line="600" w:lineRule="exact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10m高度风速≥3.0m/s除外</w:t>
            </w:r>
          </w:p>
        </w:tc>
      </w:tr>
      <w:tr w14:paraId="22450B3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3522" w:type="dxa"/>
            <w:vAlign w:val="center"/>
          </w:tcPr>
          <w:p w14:paraId="252B69A8">
            <w:pPr>
              <w:spacing w:line="600" w:lineRule="exact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30m/10m高度小时平均风速差值</w:t>
            </w:r>
          </w:p>
        </w:tc>
        <w:tc>
          <w:tcPr>
            <w:tcW w:w="1823" w:type="dxa"/>
            <w:vAlign w:val="center"/>
          </w:tcPr>
          <w:p w14:paraId="7DF863C5">
            <w:pPr>
              <w:spacing w:line="600" w:lineRule="exact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＜3.0m/s</w:t>
            </w:r>
          </w:p>
        </w:tc>
        <w:tc>
          <w:tcPr>
            <w:tcW w:w="2908" w:type="dxa"/>
          </w:tcPr>
          <w:p w14:paraId="22B36FC8">
            <w:pPr>
              <w:spacing w:line="600" w:lineRule="exact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10m高度风速≥3.0m/s除外</w:t>
            </w:r>
          </w:p>
        </w:tc>
      </w:tr>
      <w:tr w14:paraId="2431E36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3522" w:type="dxa"/>
            <w:vAlign w:val="center"/>
          </w:tcPr>
          <w:p w14:paraId="0BD23C99">
            <w:pPr>
              <w:spacing w:line="600" w:lineRule="exact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相邻层风向偏差</w:t>
            </w:r>
          </w:p>
        </w:tc>
        <w:tc>
          <w:tcPr>
            <w:tcW w:w="1823" w:type="dxa"/>
            <w:vAlign w:val="center"/>
          </w:tcPr>
          <w:p w14:paraId="48B50AD8">
            <w:pPr>
              <w:spacing w:line="600" w:lineRule="exact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&lt;30°</w:t>
            </w:r>
          </w:p>
        </w:tc>
        <w:tc>
          <w:tcPr>
            <w:tcW w:w="2908" w:type="dxa"/>
          </w:tcPr>
          <w:p w14:paraId="5CB019A7">
            <w:pPr>
              <w:spacing w:line="600" w:lineRule="exact"/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1"/>
                <w:szCs w:val="20"/>
                <w:lang w:val="en-US" w:eastAsia="zh-CN"/>
              </w:rPr>
              <w:t>风速同时&gt;3.0m/s</w:t>
            </w:r>
          </w:p>
        </w:tc>
      </w:tr>
    </w:tbl>
    <w:p w14:paraId="0FDA921F">
      <w:pPr>
        <w:spacing w:line="600" w:lineRule="exact"/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</w:pPr>
    </w:p>
    <w:p w14:paraId="0E8BADEA">
      <w:pPr>
        <w:pStyle w:val="4"/>
        <w:bidi w:val="0"/>
        <w:rPr>
          <w:sz w:val="28"/>
          <w:szCs w:val="24"/>
        </w:rPr>
      </w:pPr>
      <w:r>
        <w:rPr>
          <w:rFonts w:hint="eastAsia"/>
          <w:sz w:val="28"/>
          <w:szCs w:val="24"/>
        </w:rPr>
        <w:t>有效数据完整率</w:t>
      </w:r>
    </w:p>
    <w:p w14:paraId="2E1B4E56">
      <w:pPr>
        <w:spacing w:line="360" w:lineRule="auto"/>
        <w:rPr>
          <w:rFonts w:cs="宋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 xml:space="preserve">   有效数据完整率按公式计算：</w:t>
      </w:r>
    </w:p>
    <w:p w14:paraId="2A06DC33">
      <w:pPr>
        <w:jc w:val="center"/>
        <w:rPr>
          <w:color w:val="000000" w:themeColor="text1"/>
          <w:sz w:val="20"/>
          <w:szCs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position w:val="-26"/>
          <w:sz w:val="20"/>
          <w:szCs w:val="22"/>
          <w14:textFill>
            <w14:solidFill>
              <w14:schemeClr w14:val="tx1"/>
            </w14:solidFill>
          </w14:textFill>
        </w:rPr>
        <w:object>
          <v:shape id="_x0000_i1025" o:spt="75" type="#_x0000_t75" style="height:33.6pt;width:342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</w:p>
    <w:p w14:paraId="763BB08A">
      <w:pPr>
        <w:spacing w:line="360" w:lineRule="auto"/>
        <w:ind w:firstLine="420" w:firstLineChars="0"/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经过上述一系列检验，最终得到各测风塔合理有效数据。全观测时段数据有效完整率分析如下（表5）：{{qc_2}}</w:t>
      </w:r>
    </w:p>
    <w:p w14:paraId="1E2884EB">
      <w:pPr>
        <w:pStyle w:val="11"/>
        <w:jc w:val="center"/>
        <w:rPr>
          <w:rFonts w:hint="eastAsia" w:ascii="Times New Roman" w:hAnsi="Times New Roman" w:eastAsia="仿宋" w:cs="Times New Roman"/>
          <w:kern w:val="2"/>
          <w:sz w:val="21"/>
          <w:szCs w:val="21"/>
          <w:lang w:val="en-US" w:eastAsia="zh-CN" w:bidi="ar-SA"/>
        </w:rPr>
      </w:pPr>
      <w:bookmarkStart w:id="17" w:name="_Toc453333144"/>
      <w:r>
        <w:rPr>
          <w:rFonts w:hint="eastAsia" w:ascii="Times New Roman" w:hAnsi="Times New Roman" w:eastAsia="黑体" w:cs="Times New Roman"/>
          <w:b w:val="0"/>
          <w:bCs w:val="0"/>
          <w:kern w:val="2"/>
          <w:sz w:val="21"/>
          <w:szCs w:val="21"/>
          <w:lang w:val="en-US" w:eastAsia="zh-CN" w:bidi="ar-SA"/>
        </w:rPr>
        <w:t>表 5  测风塔各月测风数据及缺测和无效次数统计表</w:t>
      </w:r>
      <w:bookmarkEnd w:id="17"/>
    </w:p>
    <w:p w14:paraId="3C5182EF">
      <w:pPr>
        <w:spacing w:line="360" w:lineRule="auto"/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4CF7C9">
    <w:pPr>
      <w:pStyle w:val="1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55</w:t>
    </w:r>
    <w:r>
      <w:rPr>
        <w:lang w:val="zh-CN"/>
      </w:rPr>
      <w:fldChar w:fldCharType="end"/>
    </w:r>
  </w:p>
  <w:p w14:paraId="5B875AB8"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8C05AA">
    <w:pPr>
      <w:pStyle w:val="1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86190D"/>
    <w:multiLevelType w:val="multilevel"/>
    <w:tmpl w:val="9486190D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0"/>
        </w:tabs>
        <w:ind w:left="432" w:hanging="432"/>
      </w:pPr>
      <w:rPr>
        <w:rFonts w:hint="default" w:ascii="Times New Roman" w:hAnsi="Times New Roman"/>
        <w:b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Times New Roman" w:hAnsi="Times New Roman"/>
        <w:b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仿宋" w:hAnsi="仿宋"/>
        <w:b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00000000"/>
    <w:rsid w:val="0AC97B32"/>
    <w:rsid w:val="0D315C26"/>
    <w:rsid w:val="1E1B5431"/>
    <w:rsid w:val="2E2D12B9"/>
    <w:rsid w:val="2EDC68F5"/>
    <w:rsid w:val="4510761C"/>
    <w:rsid w:val="519A0805"/>
    <w:rsid w:val="57501277"/>
    <w:rsid w:val="5B682BA9"/>
    <w:rsid w:val="7161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99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Times New Roman" w:hAnsi="Times New Roman" w:eastAsia="仿宋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99"/>
    <w:rPr>
      <w:rFonts w:ascii="Cambria" w:hAnsi="Cambria" w:eastAsia="黑体" w:cs="Cambria"/>
      <w:sz w:val="20"/>
      <w:szCs w:val="20"/>
    </w:rPr>
  </w:style>
  <w:style w:type="paragraph" w:styleId="12">
    <w:name w:val="Body Text Indent"/>
    <w:basedOn w:val="1"/>
    <w:semiHidden/>
    <w:qFormat/>
    <w:uiPriority w:val="99"/>
    <w:pPr>
      <w:spacing w:after="120"/>
      <w:ind w:left="420" w:leftChars="200"/>
    </w:pPr>
  </w:style>
  <w:style w:type="paragraph" w:styleId="13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Body Text First Indent 2"/>
    <w:basedOn w:val="12"/>
    <w:qFormat/>
    <w:uiPriority w:val="99"/>
    <w:pPr>
      <w:spacing w:after="0" w:line="360" w:lineRule="auto"/>
      <w:ind w:left="0" w:leftChars="0" w:firstLine="200" w:firstLineChars="200"/>
      <w:jc w:val="left"/>
    </w:pPr>
    <w:rPr>
      <w:spacing w:val="4"/>
      <w:sz w:val="24"/>
      <w:szCs w:val="24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9">
    <w:name w:val="表中文字"/>
    <w:next w:val="1"/>
    <w:qFormat/>
    <w:uiPriority w:val="99"/>
    <w:pPr>
      <w:widowControl w:val="0"/>
      <w:jc w:val="center"/>
      <w:textAlignment w:val="center"/>
    </w:pPr>
    <w:rPr>
      <w:rFonts w:ascii="Times New Roman" w:hAnsi="Times New Roman" w:eastAsia="宋体" w:cs="Times New Roman"/>
      <w:kern w:val="2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808</Words>
  <Characters>1071</Characters>
  <Lines>0</Lines>
  <Paragraphs>0</Paragraphs>
  <TotalTime>2</TotalTime>
  <ScaleCrop>false</ScaleCrop>
  <LinksUpToDate>false</LinksUpToDate>
  <CharactersWithSpaces>1092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2024-07-11T01:37:00Z</dcterms:created>
  <dc:creator>EDY</dc:creator>
  <cp:lastModifiedBy>呆木</cp:lastModifiedBy>
  <dcterms:modified xsi:type="dcterms:W3CDTF">2024-11-05T06:09:13Z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230B76CA2DDC4FE4B8803A478ECDA1E8_12</vt:lpwstr>
  </property>
</Properties>
</file>