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Reducing Gulo 3000 shaft vibration</w:t>
      </w:r>
    </w:p>
    <w:p>
      <w:pPr>
        <w:pStyle w:val="Heading1"/>
      </w:pPr>
      <w:r>
        <w:t>1 / Experimental basis and mathematical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544"/>
      </w:tblGrid>
      <w:tr>
        <w:tc>
          <w:tcPr>
            <w:tcW w:type="dxa" w:w="53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00400" cy="18023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_thumbna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02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71"/>
          </w:tcPr>
          <w:p>
            <w:r>
              <w:rPr>
                <w:b/>
                <w:sz w:val="18"/>
              </w:rPr>
              <w:t xml:space="preserve">Recommendation. </w:t>
            </w:r>
            <w:r>
              <w:rPr>
                <w:sz w:val="18"/>
              </w:rPr>
              <w:t>Investigate a shaft-path damper with Bs = 0.039 N·m·s/rad. It reduces modeled switching ripple by 32.2% and preserves steady-speed gain. Four alternatives meet the nominal 30% target under the stated fixed-voltage test. These are model predictions; no modified hardware was tested.</w:t>
            </w:r>
          </w:p>
        </w:tc>
      </w:tr>
    </w:tbl>
    <w:p>
      <w:pPr>
        <w:pStyle w:val="Heading1"/>
      </w:pPr>
      <w:r>
        <w:t>Data and experimental procedures</w:t>
      </w:r>
    </w:p>
    <w:p>
      <w:r>
        <w:t>The supplied September 10 records contain 3 distinct frequency sweeps (182 rows, 4–10 Hz) and 28 time histories. The copied/renamed exports are byte-identical to the originals and are not counted twice. The LabVIEW headers already express both tachometers in rad/s. Gain is distal-speed amplitude divided by motor-voltage amplitude; repeated complex responses are averaged in 0.05-Hz bins (44 bins). Phase is treated circularly before unwrapping. [2,3]</w:t>
      </w:r>
    </w:p>
    <w:p>
      <w:r>
        <w:t>DC resistance uses the two stationary tests. Km is the slope of V − RmI versus steady motor speed across 14 records, with a free intercept. The 20-Hz recordings are retained as diagnostics rather than pooled as DC resistance. Locked-side free decays give Btr = Bs + Bb and Btl = Bs + Bm. For the two coastdowns, the motor was physically uncoupled while both flywheels remained connected by the shaft (confirmed by the team).</w:t>
      </w:r>
    </w:p>
    <w:p>
      <w:pPr>
        <w:pStyle w:val="Heading1"/>
      </w:pPr>
      <w:r>
        <w:t>Equations and parameter provenance</w:t>
      </w:r>
    </w:p>
    <w:p>
      <w:r>
        <w:t>States: shaft twist δ = θ1 − θ2, motor speed ω1, distal speed ω2 and armature current i. The model uses Jc = Jm + Jf and the same Jf for both flywheels. [2]</w:t>
      </w:r>
    </w:p>
    <w:p>
      <w:r>
        <w:rPr>
          <w:rFonts w:ascii="Cambria" w:hAnsi="Cambria"/>
          <w:sz w:val="18"/>
        </w:rPr>
        <w:t>Lm di/dt = Vin − Rm i − Km ω1</w:t>
        <w:br/>
        <w:t>Jc dω1/dt = Km i − Bm ω1 − Bs(ω1 − ω2) − Kδ</w:t>
        <w:br/>
        <w:t>Jf dω2/dt = Bs(ω1 − ω2) + Kδ − Bb ω2;     dδ/dt = ω1 − ω2</w:t>
      </w:r>
    </w:p>
    <w:p>
      <w:r>
        <w:t>The frequency model H(s) = Ω2(s)/Vin(s) neglects Lm; switching simulations retain it. Jf = ρπDf⁴Lf/32 and Kgeometry = πGsDs⁴/(32Ls). The complete third-order polynomial and an independent state-equation check are in the MATLAB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032"/>
        <w:gridCol w:w="4248"/>
      </w:tblGrid>
      <w:tr>
        <w:trPr>
          <w:cantSplit/>
        </w:trPr>
        <w:tc>
          <w:tcPr>
            <w:tcW w:type="dxa" w:w="2376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032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248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Rm; Km</w:t>
            </w:r>
          </w:p>
        </w:tc>
        <w:tc>
          <w:tcPr>
            <w:tcW w:type="dxa" w:w="403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2.4947 Ω; 0.09821 V·s/rad</w:t>
            </w:r>
          </w:p>
        </w:tc>
        <w:tc>
          <w:tcPr>
            <w:tcW w:type="dxa" w:w="4248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Stationary tests; back-EMF regression</w:t>
            </w:r>
          </w:p>
        </w:tc>
      </w:tr>
      <w:tr>
        <w:trPr>
          <w:cantSplit/>
        </w:trPr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Jf; Jm</w:t>
            </w:r>
          </w:p>
        </w:tc>
        <w:tc>
          <w:tcPr>
            <w:tcW w:type="dxa" w:w="403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0.003406; 4.23e-05 kg·m²</w:t>
            </w:r>
          </w:p>
        </w:tc>
        <w:tc>
          <w:tcPr>
            <w:tcW w:type="dxa" w:w="4248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Given geometry/material; given rotor inertia</w:t>
            </w:r>
          </w:p>
        </w:tc>
      </w:tr>
      <w:tr>
        <w:trPr>
          <w:cantSplit/>
        </w:trPr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Kgeometry → Keffective</w:t>
            </w:r>
          </w:p>
        </w:tc>
        <w:tc>
          <w:tcPr>
            <w:tcW w:type="dxa" w:w="403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2.4062 → 2.2029 N·m/rad</w:t>
            </w:r>
          </w:p>
        </w:tc>
        <w:tc>
          <w:tcPr>
            <w:tcW w:type="dxa" w:w="4248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Geometry; only parameter fitted to sweeps</w:t>
            </w:r>
          </w:p>
        </w:tc>
      </w:tr>
      <w:tr>
        <w:trPr>
          <w:cantSplit/>
        </w:trPr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Btr; Btl</w:t>
            </w:r>
          </w:p>
        </w:tc>
        <w:tc>
          <w:tcPr>
            <w:tcW w:type="dxa" w:w="403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0.001429; 0.007808 N·m·s/rad</w:t>
            </w:r>
          </w:p>
        </w:tc>
        <w:tc>
          <w:tcPr>
            <w:tcW w:type="dxa" w:w="4248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Mean of two free decays per locked side</w:t>
            </w:r>
          </w:p>
        </w:tc>
      </w:tr>
      <w:tr>
        <w:trPr>
          <w:cantSplit/>
        </w:trPr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Bb; Bs; Bm</w:t>
            </w:r>
          </w:p>
        </w:tc>
        <w:tc>
          <w:tcPr>
            <w:tcW w:type="dxa" w:w="403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0.0001572; 0.001272; 0.006536 N·m·s/rad</w:t>
            </w:r>
          </w:p>
        </w:tc>
        <w:tc>
          <w:tcPr>
            <w:tcW w:type="dxa" w:w="4248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Coastdown and subtraction of damping sums</w:t>
            </w:r>
          </w:p>
        </w:tc>
      </w:tr>
      <w:tr>
        <w:trPr>
          <w:cantSplit/>
        </w:trPr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Lm; shaft geometry</w:t>
            </w:r>
          </w:p>
        </w:tc>
        <w:tc>
          <w:tcPr>
            <w:tcW w:type="dxa" w:w="403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0.002 H; Ds = 3.18 mm; Ls = 305 mm</w:t>
            </w:r>
          </w:p>
        </w:tc>
        <w:tc>
          <w:tcPr>
            <w:tcW w:type="dxa" w:w="4248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Given course parameters [2]</w:t>
            </w:r>
          </w:p>
        </w:tc>
      </w:tr>
    </w:tbl>
    <w:p>
      <w:pPr>
        <w:pStyle w:val="Heading1"/>
      </w:pPr>
      <w:r>
        <w:t>Damping extraction and its limits</w:t>
      </w:r>
    </w:p>
    <w:p>
      <w:r>
        <w:t>Free-decay extrema are fitted as ln|ωpeak| = c − αt; B = 2Jα, ωn = √[(2πfd)² + α²] and ζ = α/ωn. Extrema above 15% of the initial amplitude, within 8 s, are retained. The coast fit uses 4.0–19.5 s after disengagement and J = 2Jf, giving Bb ≈ 2Jfα. Then Bs = Btr − Bb and Bm = Btl − Bs. All three are effective coefficients of this assembly, not independently isolated material properties.</w:t>
      </w:r>
    </w:p>
    <w:p>
      <w:r>
        <w:t>The motor regression has R² = 0.99981 and intercept 0.135 V. The intercept and effective resistance absorb offsets/brush effects. Coastdown is slightly better fit by a linear Coulomb model than an exponential model; an equivalent viscous model is retained for frequency-domain design. This approximation limits extrapolation.</w:t>
      </w:r>
    </w:p>
    <w:p>
      <w:r>
        <w:br w:type="page"/>
      </w:r>
    </w:p>
    <w:p>
      <w:pPr>
        <w:pStyle w:val="Heading1"/>
      </w:pPr>
      <w:r>
        <w:t>2 / Validation and design screening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4892040" cy="3207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0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26577"/>
          <w:sz w:val="16"/>
        </w:rPr>
        <w:t>Figure 1. Measured response, flexible model and rigid-shaft limit. A rigid shaft enforces ω1 = ω2 and removes the torsional resonance; setting Bs = 0 does not make a shaft rigid.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816"/>
        <w:gridCol w:w="3960"/>
      </w:tblGrid>
      <w:tr>
        <w:trPr>
          <w:cantSplit/>
        </w:trPr>
        <w:tc>
          <w:tcPr>
            <w:tcW w:type="dxa" w:w="2880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816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Magnitude / frequency result</w:t>
            </w:r>
          </w:p>
        </w:tc>
        <w:tc>
          <w:tcPr>
            <w:tcW w:type="dxa" w:w="3960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Phase / interpretation</w:t>
            </w:r>
          </w:p>
        </w:tc>
      </w:tr>
      <w:tr>
        <w:trPr>
          <w:cantSplit/>
        </w:trPr>
        <w:tc>
          <w:tcPr>
            <w:tcW w:type="dxa" w:w="288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Measured vs modeled resonance</w:t>
            </w:r>
          </w:p>
        </w:tc>
        <w:tc>
          <w:tcPr>
            <w:tcW w:type="dxa" w:w="381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5.650 vs 5.690 Hz</w:t>
            </w:r>
          </w:p>
        </w:tc>
        <w:tc>
          <w:tcPr>
            <w:tcW w:type="dxa" w:w="396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Peak gain 2.687 vs 2.547 rad/(s·V)</w:t>
            </w:r>
          </w:p>
        </w:tc>
      </w:tr>
      <w:tr>
        <w:trPr>
          <w:cantSplit/>
        </w:trPr>
        <w:tc>
          <w:tcPr>
            <w:tcW w:type="dxa" w:w="288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Before → after K refinement</w:t>
            </w:r>
          </w:p>
        </w:tc>
        <w:tc>
          <w:tcPr>
            <w:tcW w:type="dxa" w:w="381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2.46 → 1.65 dB RMS</w:t>
            </w:r>
          </w:p>
        </w:tc>
        <w:tc>
          <w:tcPr>
            <w:tcW w:type="dxa" w:w="396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28.38° → 7.02° RMS</w:t>
            </w:r>
          </w:p>
        </w:tc>
      </w:tr>
      <w:tr>
        <w:trPr>
          <w:cantSplit/>
        </w:trPr>
        <w:tc>
          <w:tcPr>
            <w:tcW w:type="dxa" w:w="288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Leave one sweep out</w:t>
            </w:r>
          </w:p>
        </w:tc>
        <w:tc>
          <w:tcPr>
            <w:tcW w:type="dxa" w:w="381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0.89–1.83 dB RMS</w:t>
            </w:r>
          </w:p>
        </w:tc>
        <w:tc>
          <w:tcPr>
            <w:tcW w:type="dxa" w:w="396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5.03–17.47° RMS; shared apparatus</w:t>
            </w:r>
          </w:p>
        </w:tc>
      </w:tr>
      <w:tr>
        <w:trPr>
          <w:cantSplit/>
        </w:trPr>
        <w:tc>
          <w:tcPr>
            <w:tcW w:type="dxa" w:w="288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Broadband last-test diagnostic</w:t>
            </w:r>
          </w:p>
        </w:tc>
        <w:tc>
          <w:tcPr>
            <w:tcW w:type="dxa" w:w="381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2.69 dB RMS</w:t>
            </w:r>
          </w:p>
        </w:tc>
        <w:tc>
          <w:tcPr>
            <w:tcW w:type="dxa" w:w="396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8.98° RMS; coherence ≥0.8</w:t>
            </w:r>
          </w:p>
        </w:tc>
      </w:tr>
    </w:tbl>
    <w:p>
      <w:r>
        <w:t>K is refined from geometry by fitting mean squared log-magnitude and wrapped-phase residuals. It is an effective stiffness correction, not a new measured shear modulus. Near resonance (5.2–6.2 Hz), magnitude RMS error is 0.79 dB. Including the given inductance changes predictions by at most 0.031 dB and 2.88° in the measured band.</w:t>
      </w:r>
    </w:p>
    <w:p>
      <w:r>
        <w:t>The broadband record is withheld from fitting: an H1 spectral estimate uses nine 2-s Hann windows with 50% overlap and 0.5-Hz resolution. Nine 4–10 Hz bins meet coherence ≥0.8. Its coarse resolution cannot resolve the narrow peak accurately. The three sweeps share setup and nearly constant excitation (~1.72–1.76 V amplitude); no descending sweep or systematic amplitude sweep establishes broad linearity. The model supports comparative design near the tested range, with residual discrepancies retained.</w:t>
      </w:r>
    </w:p>
    <w:p>
      <w:pPr>
        <w:pStyle w:val="Heading1"/>
      </w:pPr>
      <w:r>
        <w:t>Sensitivity identifies four attenuation directions</w:t>
      </w:r>
    </w:p>
    <w:p>
      <w:r>
        <w:t>Course cost: J = ∫|H(jω)|dω over ωr ± π (a 1-Hz-wide band); integrate linear magnitude, not dB. Normalized sensitivity is Sp = (ΔJ/J)/(Δp/p), estimated with symmetric ±1% perturbations. Record both the original-band cost and the cost following the new resonance, plus peak-height sensitivity. Recompute linked parameters after each perturbation. [2]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664"/>
        <w:gridCol w:w="2376"/>
        <w:gridCol w:w="4104"/>
      </w:tblGrid>
      <w:tr>
        <w:trPr>
          <w:cantSplit/>
        </w:trPr>
        <w:tc>
          <w:tcPr>
            <w:tcW w:type="dxa" w:w="1512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664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Original-band cost S</w:t>
            </w:r>
          </w:p>
        </w:tc>
        <w:tc>
          <w:tcPr>
            <w:tcW w:type="dxa" w:w="2376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Tracked-peak S</w:t>
            </w:r>
          </w:p>
        </w:tc>
        <w:tc>
          <w:tcPr>
            <w:tcW w:type="dxa" w:w="4104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151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Rm</w:t>
            </w:r>
          </w:p>
        </w:tc>
        <w:tc>
          <w:tcPr>
            <w:tcW w:type="dxa" w:w="266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-0.869</w:t>
            </w:r>
          </w:p>
        </w:tc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-0.757</w:t>
            </w:r>
          </w:p>
        </w:tc>
        <w:tc>
          <w:tcPr>
            <w:tcW w:type="dxa" w:w="410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Attenuation candidate</w:t>
            </w:r>
          </w:p>
        </w:tc>
      </w:tr>
      <w:tr>
        <w:trPr>
          <w:cantSplit/>
        </w:trPr>
        <w:tc>
          <w:tcPr>
            <w:tcW w:type="dxa" w:w="151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Km</w:t>
            </w:r>
          </w:p>
        </w:tc>
        <w:tc>
          <w:tcPr>
            <w:tcW w:type="dxa" w:w="266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+0.737</w:t>
            </w:r>
          </w:p>
        </w:tc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+0.513</w:t>
            </w:r>
          </w:p>
        </w:tc>
        <w:tc>
          <w:tcPr>
            <w:tcW w:type="dxa" w:w="410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Attenuation candidate</w:t>
            </w:r>
          </w:p>
        </w:tc>
      </w:tr>
      <w:tr>
        <w:trPr>
          <w:cantSplit/>
        </w:trPr>
        <w:tc>
          <w:tcPr>
            <w:tcW w:type="dxa" w:w="151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Bm</w:t>
            </w:r>
          </w:p>
        </w:tc>
        <w:tc>
          <w:tcPr>
            <w:tcW w:type="dxa" w:w="266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-0.222</w:t>
            </w:r>
          </w:p>
        </w:tc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-0.412</w:t>
            </w:r>
          </w:p>
        </w:tc>
        <w:tc>
          <w:tcPr>
            <w:tcW w:type="dxa" w:w="410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Attenuation candidate</w:t>
            </w:r>
          </w:p>
        </w:tc>
      </w:tr>
      <w:tr>
        <w:trPr>
          <w:cantSplit/>
        </w:trPr>
        <w:tc>
          <w:tcPr>
            <w:tcW w:type="dxa" w:w="151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Bs</w:t>
            </w:r>
          </w:p>
        </w:tc>
        <w:tc>
          <w:tcPr>
            <w:tcW w:type="dxa" w:w="266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-0.176</w:t>
            </w:r>
          </w:p>
        </w:tc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-0.326</w:t>
            </w:r>
          </w:p>
        </w:tc>
        <w:tc>
          <w:tcPr>
            <w:tcW w:type="dxa" w:w="410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Attenuation candidate</w:t>
            </w:r>
          </w:p>
        </w:tc>
      </w:tr>
      <w:tr>
        <w:trPr>
          <w:cantSplit/>
        </w:trPr>
        <w:tc>
          <w:tcPr>
            <w:tcW w:type="dxa" w:w="151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Df</w:t>
            </w:r>
          </w:p>
        </w:tc>
        <w:tc>
          <w:tcPr>
            <w:tcW w:type="dxa" w:w="266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-3.201</w:t>
            </w:r>
          </w:p>
        </w:tc>
        <w:tc>
          <w:tcPr>
            <w:tcW w:type="dxa" w:w="2376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-0.048</w:t>
            </w:r>
          </w:p>
        </w:tc>
        <w:tc>
          <w:tcPr>
            <w:tcW w:type="dxa" w:w="410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Primarily moves resonance</w:t>
            </w:r>
          </w:p>
        </w:tc>
      </w:tr>
      <w:tr>
        <w:trPr>
          <w:cantSplit/>
        </w:trPr>
        <w:tc>
          <w:tcPr>
            <w:tcW w:type="dxa" w:w="151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Ds</w:t>
            </w:r>
          </w:p>
        </w:tc>
        <w:tc>
          <w:tcPr>
            <w:tcW w:type="dxa" w:w="266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+1.396</w:t>
            </w:r>
          </w:p>
        </w:tc>
        <w:tc>
          <w:tcPr>
            <w:tcW w:type="dxa" w:w="2376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-0.017</w:t>
            </w:r>
          </w:p>
        </w:tc>
        <w:tc>
          <w:tcPr>
            <w:tcW w:type="dxa" w:w="410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Primarily moves resonance</w:t>
            </w:r>
          </w:p>
        </w:tc>
      </w:tr>
    </w:tbl>
    <w:p>
      <w:r>
        <w:t>The four largest absolute peak-height sensitivities are Rm, Km, Bm and Bs. All 12 raw parameters were screened; Jm, Lf, ρf, Ls, Gs and Bb are also included in sensitivity.csv. Changing Df changes both flywheel inertias as Df⁴; Ds changes stiffness as Ds⁴. Geometry can move the resonance out of a fixed cost band while leaving its height nearly unchanged, so it is not selected on fixed-band improvement alone.</w:t>
      </w:r>
    </w:p>
    <w:p>
      <w:r>
        <w:br w:type="page"/>
      </w:r>
    </w:p>
    <w:p>
      <w:pPr>
        <w:pStyle w:val="Heading1"/>
      </w:pPr>
      <w:r>
        <w:t>3 / Four design alternatives and recommendation</w:t>
      </w:r>
    </w:p>
    <w:p>
      <w:r>
        <w:t>Targets below include a modest parameter margin beyond the minimum joint solution and are rounded outward to two significant digits. Each nominal design reduces both the frequency-response criterion and the defined switching ripple by at least 30%. These are component-level targets for prototype evaluation, not validated vehicle designs.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1440"/>
        <w:gridCol w:w="1584"/>
        <w:gridCol w:w="1440"/>
        <w:gridCol w:w="1872"/>
      </w:tblGrid>
      <w:tr>
        <w:trPr>
          <w:cantSplit/>
        </w:trPr>
        <w:tc>
          <w:tcPr>
            <w:tcW w:type="dxa" w:w="4320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Parameter change</w:t>
            </w:r>
          </w:p>
        </w:tc>
        <w:tc>
          <w:tcPr>
            <w:tcW w:type="dxa" w:w="1440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Gain ↓</w:t>
            </w:r>
          </w:p>
        </w:tc>
        <w:tc>
          <w:tcPr>
            <w:tcW w:type="dxa" w:w="1584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1-Hz cost ↓</w:t>
            </w:r>
          </w:p>
        </w:tc>
        <w:tc>
          <w:tcPr>
            <w:tcW w:type="dxa" w:w="1440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Pulse ↓</w:t>
            </w:r>
          </w:p>
        </w:tc>
        <w:tc>
          <w:tcPr>
            <w:tcW w:type="dxa" w:w="1872"/>
            <w:shd w:fill="062D48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Speed gain retained</w:t>
            </w:r>
          </w:p>
        </w:tc>
      </w:tr>
      <w:tr>
        <w:trPr>
          <w:cantSplit/>
        </w:trPr>
        <w:tc>
          <w:tcPr>
            <w:tcW w:type="dxa" w:w="432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Rm: 2.495 → 4.10 Ω</w:t>
            </w:r>
          </w:p>
        </w:tc>
        <w:tc>
          <w:tcPr>
            <w:tcW w:type="dxa" w:w="144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32.7%</w:t>
            </w:r>
          </w:p>
        </w:tc>
        <w:tc>
          <w:tcPr>
            <w:tcW w:type="dxa" w:w="158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35.9%</w:t>
            </w:r>
          </w:p>
        </w:tc>
        <w:tc>
          <w:tcPr>
            <w:tcW w:type="dxa" w:w="144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38.5%</w:t>
            </w:r>
          </w:p>
        </w:tc>
        <w:tc>
          <w:tcPr>
            <w:tcW w:type="dxa" w:w="187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71.0%</w:t>
            </w:r>
          </w:p>
        </w:tc>
      </w:tr>
      <w:tr>
        <w:trPr>
          <w:cantSplit/>
        </w:trPr>
        <w:tc>
          <w:tcPr>
            <w:tcW w:type="dxa" w:w="432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Km: 0.0982 → 0.053 V·s/rad</w:t>
            </w:r>
          </w:p>
        </w:tc>
        <w:tc>
          <w:tcPr>
            <w:tcW w:type="dxa" w:w="144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34.7%</w:t>
            </w:r>
          </w:p>
        </w:tc>
        <w:tc>
          <w:tcPr>
            <w:tcW w:type="dxa" w:w="158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40.5%</w:t>
            </w:r>
          </w:p>
        </w:tc>
        <w:tc>
          <w:tcPr>
            <w:tcW w:type="dxa" w:w="144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45.0%</w:t>
            </w:r>
          </w:p>
        </w:tc>
        <w:tc>
          <w:tcPr>
            <w:tcW w:type="dxa" w:w="187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72.9%</w:t>
            </w:r>
          </w:p>
        </w:tc>
      </w:tr>
      <w:tr>
        <w:trPr>
          <w:cantSplit/>
        </w:trPr>
        <w:tc>
          <w:tcPr>
            <w:tcW w:type="dxa" w:w="432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Bs: 0.00127 → 0.039 N·m·s/rad</w:t>
            </w:r>
          </w:p>
        </w:tc>
        <w:tc>
          <w:tcPr>
            <w:tcW w:type="dxa" w:w="144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85.9%</w:t>
            </w:r>
          </w:p>
        </w:tc>
        <w:tc>
          <w:tcPr>
            <w:tcW w:type="dxa" w:w="1584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82.6%</w:t>
            </w:r>
          </w:p>
        </w:tc>
        <w:tc>
          <w:tcPr>
            <w:tcW w:type="dxa" w:w="1440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32.2%</w:t>
            </w:r>
          </w:p>
        </w:tc>
        <w:tc>
          <w:tcPr>
            <w:tcW w:type="dxa" w:w="1872"/>
            <w:shd w:fill="EDF3F6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432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Bm: 0.00654 → 0.077 N·m·s/rad</w:t>
            </w:r>
          </w:p>
        </w:tc>
        <w:tc>
          <w:tcPr>
            <w:tcW w:type="dxa" w:w="144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77.6%</w:t>
            </w:r>
          </w:p>
        </w:tc>
        <w:tc>
          <w:tcPr>
            <w:tcW w:type="dxa" w:w="1584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65.9%</w:t>
            </w:r>
          </w:p>
        </w:tc>
        <w:tc>
          <w:tcPr>
            <w:tcW w:type="dxa" w:w="1440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32.2%</w:t>
            </w:r>
          </w:p>
        </w:tc>
        <w:tc>
          <w:tcPr>
            <w:tcW w:type="dxa" w:w="1872"/>
            <w:shd w:fill="FFFFFF"/>
          </w:tcPr>
          <w:p>
            <w:pPr>
              <w:spacing w:after="40" w:before="20" w:line="240" w:lineRule="auto"/>
            </w:pPr>
            <w:r>
              <w:rPr>
                <w:rFonts w:ascii="Arial" w:hAnsi="Arial"/>
                <w:b w:val="0"/>
                <w:color w:val="062D48"/>
                <w:sz w:val="16"/>
              </w:rPr>
              <w:t>13.0%</w:t>
            </w:r>
          </w:p>
        </w:tc>
      </w:tr>
    </w:tbl>
    <w:p>
      <w:r>
        <w:rPr>
          <w:color w:val="526577"/>
          <w:sz w:val="16"/>
        </w:rPr>
        <w:t>For Bs the local peak is eliminated: “gain” is the maximum across 4–10 Hz, and the 1-Hz cost stays centered on the baseline resonance. For other designs, both metrics track their shifted local peak. Broadband low-frequency commanded rotation is not relabeled as torsional resonance.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4892040" cy="1966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ing_trans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96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26577"/>
          <w:sz w:val="16"/>
        </w:rPr>
        <w:t>Figure 2. Baseline and shaft-damper switching responses. Exact matrix-exponential simulation retains motor inductance; +1 V for 4 s, then a driven 0-V source for 4 s. Initial state is rest. Plots show the first 0.8 s after each switch.</w:t>
      </w:r>
    </w:p>
    <w:p>
      <w:r>
        <w:t>Torsional ripple is r = ω2 − (Jcω1 + Jfω2)/(Jc + Jf). The criterion is max|r| over the full pulse: baseline 0.1467 rad/s. It measures relative torsional motion, not total wheel speed or passenger acceleration. An open-circuit turn-off variant is also saved. The design gain/cost thresholds alone would need much smaller damping changes (see resonance_only_designs.csv) but would not achieve the pulse target.</w:t>
      </w:r>
    </w:p>
    <w:p>
      <w:pPr>
        <w:pStyle w:val="Heading1"/>
      </w:pPr>
      <w:r>
        <w:t>Practical comparison and parameter linkage</w:t>
      </w:r>
    </w:p>
    <w:p>
      <w:r>
        <w:t>1. Shaft-path damper — preferred concept. Add relative-motion dissipation across the shaft/coupling path, targeting Bs = 0.039 N·m·s/rad. This is about 30.7 times the baseline coefficient and retains 100% of modeled steady-speed gain. Specify the damper by its measured torque–relative-speed behavior. Added stiffness, inertia, heat and packaging must be included in a new prototype model.</w:t>
      </w:r>
    </w:p>
    <w:p>
      <w:r>
        <w:t>2. Series resistance. Target total Rm = 4.10 Ω (about 1.61 Ω added). It is a simple passive concept, but produces I²R heat and retains only 71% of steady-speed gain. The input is then defined upstream of the added resistor; do not use downstream motor-terminal voltage as the same transfer-function input.</w:t>
      </w:r>
    </w:p>
    <w:p>
      <w:r>
        <w:t>3. Lower-Km motor. Target Km = 0.053 V·s/rad (also N·m/A in SI). The idealized study holds Rm, Jm and damping fixed; real motor replacement changes these together. Refit all coupled properties and verify torque/current requirements. Modeled steady-speed gain retained: 73%.</w:t>
      </w:r>
    </w:p>
    <w:p>
      <w:r>
        <w:t>4. Motor-side damper. Target Bm = 0.077 N·m·s/rad. This resists absolute motor speed and causes continuous dissipation. Only 13% of steady-speed gain remains; this makes it the least attractive of the four despite meeting the fixed-voltage target.</w:t>
      </w:r>
    </w:p>
    <w:p>
      <w:r>
        <w:t>Fixed input is a material limitation. If voltage is rescaled to restore equal final speed, pulse reductions are approximately Rm: 13.5%, Km: 24.6%, Bs: 32.2%, Bm: -420.1%. A negative reduction means worse ripple. These rescaled simulations are diagnostic and are not recommended drive voltages. Eight combinations of the repeated damping tests are checked in replicate_robustness.csv; they are not statistical confidence intervals.</w:t>
      </w:r>
    </w:p>
    <w:p>
      <w:pPr>
        <w:pStyle w:val="Heading1"/>
      </w:pPr>
      <w:r>
        <w:t>References and reproduction</w:t>
      </w:r>
    </w:p>
    <w:p>
      <w:r>
        <w:rPr>
          <w:color w:val="526577"/>
          <w:sz w:val="16"/>
        </w:rPr>
        <w:t>[1] Meyhofer &amp; Reddy, Task Letter Lab 1, Sept. 4, 2026. [2] ME 495 Lab 1_1, pp. 12–25; Lab 1_2, pp. 4, 19–36, 43. [3] Flexible Shaft — Student Guide, pp. 20–27. Poster format follows Dr. Royston, F26 ME495 Posters-1, pp. 20–28, 48, 54–55. All numerical results: supplied Data/ exports; run MATLAB/run_all.m. Tables, diagnostic plots and verification results are in Analysis/; publication figures are in Figures/.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49" w:bottom="619" w:left="749" w:header="230" w:footer="24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Gulo 3000 • Technical handout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577"/>
        <w:sz w:val="14"/>
      </w:rPr>
      <w:t>POWERTRAIN DYNAMICS GROUP   |   ME 495   |  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62D4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62D4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062D4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