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2E75B6"/>
          <w:spacing w:val="200"/>
          <w:sz w:val="22"/>
          <w:szCs w:val="22"/>
        </w:rPr>
        <w:t xml:space="preserve">PROJECT PROPOSAL</w:t>
      </w:r>
    </w:p>
    <w:p>
      <w:pPr>
        <w:pBdr>
          <w:bottom w:val="single" w:color="2E75B6" w:sz="6" w:space="8"/>
        </w:pBdr>
        <w:spacing w:after="80"/>
        <w:jc w:val="center"/>
      </w:pPr>
      <w:r>
        <w:rPr>
          <w:rFonts w:ascii="Arial" w:cs="Arial" w:eastAsia="Arial" w:hAnsi="Arial"/>
          <w:b/>
          <w:bCs/>
          <w:color w:val="1B2A4A"/>
          <w:sz w:val="52"/>
          <w:szCs w:val="52"/>
        </w:rPr>
        <w:t xml:space="preserve">TITLE Protocol v3.0 AI</w:t>
      </w:r>
    </w:p>
    <w:p>
      <w:pPr>
        <w:spacing w:before="200" w:after="60"/>
        <w:jc w:val="center"/>
      </w:pPr>
      <w:r>
        <w:rPr>
          <w:rFonts w:ascii="Arial" w:cs="Arial" w:eastAsia="Arial" w:hAnsi="Arial"/>
          <w:color w:val="666666"/>
          <w:sz w:val="30"/>
          <w:szCs w:val="30"/>
        </w:rPr>
        <w:t xml:space="preserve">Multi-Agent Development System</w:t>
      </w:r>
    </w:p>
    <w:p>
      <w:pPr>
        <w:spacing w:after="40"/>
        <w:jc w:val="center"/>
      </w:pPr>
      <w:r>
        <w:rPr>
          <w:rFonts w:ascii="Arial" w:cs="Arial" w:eastAsia="Arial" w:hAnsi="Arial"/>
          <w:color w:val="2E75B6"/>
          <w:sz w:val="22"/>
          <w:szCs w:val="22"/>
        </w:rPr>
        <w:t xml:space="preserve">Claude Code (Architect) × GPT-5.3-Codex (Builder / Red Team)</w:t>
      </w:r>
    </w:p>
    <w:p>
      <w:pPr>
        <w:spacing w:before="1600" w:after="1600"/>
      </w:pPr>
    </w:p>
    <w:p>
      <w:pPr>
        <w:spacing w:after="60"/>
        <w:jc w:val="center"/>
      </w:pPr>
      <w:r>
        <w:rPr>
          <w:rFonts w:ascii="Arial" w:cs="Arial" w:eastAsia="Arial" w:hAnsi="Arial"/>
          <w:color w:val="666666"/>
          <w:sz w:val="20"/>
          <w:szCs w:val="20"/>
        </w:rPr>
        <w:t xml:space="preserve">Document Version: REV 1.0</w:t>
      </w:r>
    </w:p>
    <w:p>
      <w:pPr>
        <w:spacing w:after="60"/>
        <w:jc w:val="center"/>
      </w:pPr>
      <w:r>
        <w:rPr>
          <w:rFonts w:ascii="Arial" w:cs="Arial" w:eastAsia="Arial" w:hAnsi="Arial"/>
          <w:color w:val="666666"/>
          <w:sz w:val="20"/>
          <w:szCs w:val="20"/>
        </w:rPr>
        <w:t xml:space="preserve">Date: 2026-02-14</w:t>
      </w:r>
    </w:p>
    <w:p>
      <w:pPr>
        <w:spacing w:after="60"/>
        <w:jc w:val="center"/>
      </w:pPr>
      <w:r>
        <w:rPr>
          <w:rFonts w:ascii="Arial" w:cs="Arial" w:eastAsia="Arial" w:hAnsi="Arial"/>
          <w:color w:val="666666"/>
          <w:sz w:val="20"/>
          <w:szCs w:val="20"/>
        </w:rPr>
        <w:t xml:space="preserve">Author: System Owner</w:t>
      </w:r>
    </w:p>
    <w:p>
      <w:pPr>
        <w:spacing w:after="60"/>
        <w:jc w:val="center"/>
      </w:pPr>
      <w:r>
        <w:rPr>
          <w:rFonts w:ascii="Arial" w:cs="Arial" w:eastAsia="Arial" w:hAnsi="Arial"/>
          <w:b/>
          <w:bCs/>
          <w:color w:val="1B2A4A"/>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sz w:val="21"/>
          <w:szCs w:val="21"/>
        </w:rPr>
        <w:t xml:space="preserve">This proposal defines TITLE Protocol v3.0 AI, a structured multi-agent development protocol that leverages two frontier AI models—Claude Code as the Architect/Coordinator and GPT-5.3-Codex as the Builder/Red Team—to create a closed-loop development system. The protocol enforces a four-phase dialectical cycle (Thesis → Antithesis → Synthesis → Execution) where design, adversarial review, consensus, and implementation form a continuous, auditable loop.</w:t>
      </w:r>
    </w:p>
    <w:p>
      <w:pPr>
        <w:spacing w:after="120"/>
      </w:pPr>
      <w:r>
        <w:rPr>
          <w:sz w:val="21"/>
          <w:szCs w:val="21"/>
        </w:rPr>
        <w:t xml:space="preserve">The multi-agent AI landscape has matured significantly. Gartner projects that 40% of enterprise applications will embed AI agents by the end of 2026. In this context, our protocol addresses three critical gaps: the absence of structured adversarial review in AI-assisted development, the lack of explicit role separation between design and implementation agents, and the need for deterministic state management across the development lifecycle.</w:t>
      </w:r>
    </w:p>
    <w:p>
      <w:pPr>
        <w:spacing w:after="120"/>
      </w:pPr>
      <w:r>
        <w:rPr>
          <w:sz w:val="21"/>
          <w:szCs w:val="21"/>
        </w:rPr>
        <w:t xml:space="preserve">By pairing Claude Code’s strengths in architectural reasoning and long-context analysis with GPT-5.3-Codex’s strengths in code execution, vulnerability detection, and test generation, this protocol achieves a complementary division of labor that mirrors established multi-agent best practices while maintaining Security First as a first-class requirement.</w:t>
      </w:r>
    </w:p>
    <w:p>
      <w:r>
        <w:br w:type="page"/>
      </w:r>
    </w:p>
    <w:p>
      <w:pPr>
        <w:pStyle w:val="Heading1"/>
      </w:pPr>
      <w:r>
        <w:t xml:space="preserve">2. Background &amp; Motivation</w:t>
      </w:r>
    </w:p>
    <w:p>
      <w:pPr>
        <w:pStyle w:val="Heading2"/>
      </w:pPr>
      <w:r>
        <w:t xml:space="preserve">2.1 Industry Context</w:t>
      </w:r>
    </w:p>
    <w:p>
      <w:pPr>
        <w:spacing w:after="120"/>
      </w:pPr>
      <w:r>
        <w:rPr>
          <w:sz w:val="21"/>
          <w:szCs w:val="21"/>
        </w:rPr>
        <w:t xml:space="preserve">The AI-assisted software development industry has undergone a fundamental transformation. Coding tools evolved from single-line autocomplete (GitHub Copilot, 2021) to project-scale autonomous agents capable of operating for weeks without intervention. In 2025, the release of MCP (Model Context Protocol) by Anthropic and A2A (Agent-to-Agent) by Google established open standards for agent-tool and agent-agent communication, later donated to the Linux Foundation as vendor-neutral protocols.</w:t>
      </w:r>
    </w:p>
    <w:p>
      <w:pPr>
        <w:spacing w:after="120"/>
      </w:pPr>
      <w:r>
        <w:rPr>
          <w:sz w:val="21"/>
          <w:szCs w:val="21"/>
        </w:rPr>
        <w:t xml:space="preserve">Research from 2026 demonstrates that defining clear and distinct agent roles reduces task failure rates by up to 35% in large-scale AI projects. Multi-agent systems with explicit role separation consistently outperform monolithic single-agent approaches, achieving 3x higher ROI according to McKinsey’s 2025 AI State Report. The integration of multiple specialized LLMs has been shown to reduce error rates by up to 40% in complex software development tasks.</w:t>
      </w:r>
    </w:p>
    <w:p>
      <w:pPr>
        <w:pStyle w:val="Heading2"/>
      </w:pPr>
      <w:r>
        <w:t xml:space="preserve">2.2 Problem Statement</w:t>
      </w:r>
    </w:p>
    <w:p>
      <w:pPr>
        <w:spacing w:after="80"/>
      </w:pPr>
      <w:r>
        <w:rPr>
          <w:sz w:val="21"/>
          <w:szCs w:val="21"/>
        </w:rPr>
        <w:t xml:space="preserve">Current AI-assisted development workflows face several critical challenges that this protocol aims to address:</w:t>
      </w:r>
    </w:p>
    <w:p>
      <w:pPr>
        <w:pStyle w:val="ListParagraph"/>
        <w:numPr>
          <w:ilvl w:val="0"/>
          <w:numId w:val="2"/>
        </w:numPr>
        <w:spacing w:after="60"/>
      </w:pPr>
      <w:r>
        <w:rPr>
          <w:b/>
          <w:bCs/>
          <w:sz w:val="21"/>
          <w:szCs w:val="21"/>
        </w:rPr>
        <w:t xml:space="preserve">No structured adversarial review: </w:t>
      </w:r>
      <w:r>
        <w:rPr>
          <w:sz w:val="21"/>
          <w:szCs w:val="21"/>
        </w:rPr>
        <w:t xml:space="preserve">Most AI coding workflows lack a systematic red-team phase, allowing security vulnerabilities, race conditions, and architectural flaws to persist into production.</w:t>
      </w:r>
    </w:p>
    <w:p>
      <w:pPr>
        <w:pStyle w:val="ListParagraph"/>
        <w:numPr>
          <w:ilvl w:val="0"/>
          <w:numId w:val="2"/>
        </w:numPr>
        <w:spacing w:after="60"/>
      </w:pPr>
      <w:r>
        <w:rPr>
          <w:b/>
          <w:bCs/>
          <w:sz w:val="21"/>
          <w:szCs w:val="21"/>
        </w:rPr>
        <w:t xml:space="preserve">Role ambiguity: </w:t>
      </w:r>
      <w:r>
        <w:rPr>
          <w:sz w:val="21"/>
          <w:szCs w:val="21"/>
        </w:rPr>
        <w:t xml:space="preserve">Single-agent systems conflate design decisions with implementation details, leading to architectural drift and inconsistent design intent.</w:t>
      </w:r>
    </w:p>
    <w:p>
      <w:pPr>
        <w:pStyle w:val="ListParagraph"/>
        <w:numPr>
          <w:ilvl w:val="0"/>
          <w:numId w:val="2"/>
        </w:numPr>
        <w:spacing w:after="60"/>
      </w:pPr>
      <w:r>
        <w:rPr>
          <w:b/>
          <w:bCs/>
          <w:sz w:val="21"/>
          <w:szCs w:val="21"/>
        </w:rPr>
        <w:t xml:space="preserve">State opacity: </w:t>
      </w:r>
      <w:r>
        <w:rPr>
          <w:sz w:val="21"/>
          <w:szCs w:val="21"/>
        </w:rPr>
        <w:t xml:space="preserve">Development progress is often implicit in conversation history rather than explicit in structured, version-controlled artifacts.</w:t>
      </w:r>
    </w:p>
    <w:p>
      <w:pPr>
        <w:pStyle w:val="ListParagraph"/>
        <w:numPr>
          <w:ilvl w:val="0"/>
          <w:numId w:val="2"/>
        </w:numPr>
        <w:spacing w:after="80"/>
      </w:pPr>
      <w:r>
        <w:rPr>
          <w:b/>
          <w:bCs/>
          <w:sz w:val="21"/>
          <w:szCs w:val="21"/>
        </w:rPr>
        <w:t xml:space="preserve">Model capability mismatch: </w:t>
      </w:r>
      <w:r>
        <w:rPr>
          <w:sz w:val="21"/>
          <w:szCs w:val="21"/>
        </w:rPr>
        <w:t xml:space="preserve">Using a single model for all tasks ignores the documented performance differences between models on architectural reasoning vs. code execution tasks.</w:t>
      </w:r>
    </w:p>
    <w:p>
      <w:pPr>
        <w:pStyle w:val="Heading2"/>
      </w:pPr>
      <w:r>
        <w:t xml:space="preserve">2.3 Why Two Models?</w:t>
      </w:r>
    </w:p>
    <w:p>
      <w:pPr>
        <w:spacing w:after="120"/>
      </w:pPr>
      <w:r>
        <w:rPr>
          <w:sz w:val="21"/>
          <w:szCs w:val="21"/>
        </w:rPr>
        <w:t xml:space="preserve">Claude Code and GPT-5.3-Codex exhibit complementary performance profiles. Claude excels at architectural reasoning, long-context analysis (200K–1M tokens), maintainability-focused code generation, and narrative documentation. GPT-5.3-Codex demonstrates superior performance in sustained code execution, vulnerability detection, PoC exploitation, test generation, and cost-efficient token usage. GitHub’s Agent HQ platform has validated this pattern, enabling developers to assign Claude for complex architecture discussions and Codex for rapid prototyping within the same workflow.</w:t>
      </w:r>
    </w:p>
    <w:p>
      <w:r>
        <w:br w:type="page"/>
      </w:r>
    </w:p>
    <w:p>
      <w:pPr>
        <w:pStyle w:val="Heading1"/>
      </w:pPr>
      <w:r>
        <w:t xml:space="preserve">3. Protocol Architecture</w:t>
      </w:r>
    </w:p>
    <w:p>
      <w:pPr>
        <w:spacing w:after="120"/>
      </w:pPr>
      <w:r>
        <w:rPr>
          <w:sz w:val="21"/>
          <w:szCs w:val="21"/>
        </w:rPr>
        <w:t xml:space="preserve">The TITLE Protocol v3.0 AI operates as a four-phase dialectical cycle inspired by Hegelian dialectics. Each phase has a designated owner model, specific input/output artifacts, and explicit transition conditions enforced by the .ai_sync state manager.</w:t>
      </w:r>
    </w:p>
    <w:p>
      <w:pPr>
        <w:pStyle w:val="Heading2"/>
      </w:pPr>
      <w:r>
        <w:t xml:space="preserve">3.1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1900"/>
        <w:gridCol w:w="1760"/>
      </w:tblGrid>
      <w:tr>
        <w:tc>
          <w:tcPr>
            <w:tcW w:type="dxa" w:w="18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Phase</w:t>
            </w:r>
          </w:p>
        </w:tc>
        <w:tc>
          <w:tcPr>
            <w:tcW w:type="dxa" w:w="15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Owner</w:t>
            </w:r>
          </w:p>
        </w:tc>
        <w:tc>
          <w:tcPr>
            <w:tcW w:type="dxa" w:w="24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Primary Activity</w:t>
            </w:r>
          </w:p>
        </w:tc>
        <w:tc>
          <w:tcPr>
            <w:tcW w:type="dxa" w:w="19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Key Artifacts</w:t>
            </w:r>
          </w:p>
        </w:tc>
        <w:tc>
          <w:tcPr>
            <w:tcW w:type="dxa" w:w="176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Exit Criteria</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bCs/>
                <w:color w:val="333333"/>
                <w:sz w:val="19"/>
                <w:szCs w:val="19"/>
              </w:rPr>
              <w:t xml:space="preserve">1. Thesis</w:t>
            </w:r>
          </w:p>
        </w:tc>
        <w:tc>
          <w:tcPr>
            <w:tcW w:type="dxa" w:w="15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Claude</w:t>
            </w:r>
          </w:p>
        </w:tc>
        <w:tc>
          <w:tcPr>
            <w:tcW w:type="dxa" w:w="24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Requirements structuring, constraint analysis, architecture design</w:t>
            </w:r>
          </w:p>
        </w:tc>
        <w:tc>
          <w:tcPr>
            <w:tcW w:type="dxa" w:w="19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BLUEPRINT.json, Interface specs</w:t>
            </w:r>
          </w:p>
        </w:tc>
        <w:tc>
          <w:tcPr>
            <w:tcW w:type="dxa" w:w="17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Required fields populated; Owner approval</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bCs/>
                <w:color w:val="333333"/>
                <w:sz w:val="19"/>
                <w:szCs w:val="19"/>
              </w:rPr>
              <w:t xml:space="preserve">2. Antithesis</w:t>
            </w:r>
          </w:p>
        </w:tc>
        <w:tc>
          <w:tcPr>
            <w:tcW w:type="dxa" w:w="1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Codex</w:t>
            </w:r>
          </w:p>
        </w:tc>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Red-team review: memory leaks, concurrency, security, AI misuse scenarios</w:t>
            </w:r>
          </w:p>
        </w:tc>
        <w:tc>
          <w:tcPr>
            <w:tcW w:type="dxa" w:w="19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AUDIT_LOG.md, PoC tests</w:t>
            </w:r>
          </w:p>
        </w:tc>
        <w:tc>
          <w:tcPr>
            <w:tcW w:type="dxa" w:w="17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Checklist coverage; Blockers documented</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bCs/>
                <w:color w:val="333333"/>
                <w:sz w:val="19"/>
                <w:szCs w:val="19"/>
              </w:rPr>
              <w:t xml:space="preserve">3. Synthesis</w:t>
            </w:r>
          </w:p>
        </w:tc>
        <w:tc>
          <w:tcPr>
            <w:tcW w:type="dxa" w:w="15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Claude (lead), Codex (support)</w:t>
            </w:r>
          </w:p>
        </w:tc>
        <w:tc>
          <w:tcPr>
            <w:tcW w:type="dxa" w:w="24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Risk adjudication: Accept / Defer / Reject each blocker</w:t>
            </w:r>
          </w:p>
        </w:tc>
        <w:tc>
          <w:tcPr>
            <w:tcW w:type="dxa" w:w="19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Updated BLUEPRINT, Design decisions</w:t>
            </w:r>
          </w:p>
        </w:tc>
        <w:tc>
          <w:tcPr>
            <w:tcW w:type="dxa" w:w="17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All blockers resolved or documented; Owner approval</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bCs/>
                <w:color w:val="333333"/>
                <w:sz w:val="19"/>
                <w:szCs w:val="19"/>
              </w:rPr>
              <w:t xml:space="preserve">4. Execution</w:t>
            </w:r>
          </w:p>
        </w:tc>
        <w:tc>
          <w:tcPr>
            <w:tcW w:type="dxa" w:w="1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Codex (lead), Claude (review)</w:t>
            </w:r>
          </w:p>
        </w:tc>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 implementation, testing, CI/CD setup, deployment</w:t>
            </w:r>
          </w:p>
        </w:tc>
        <w:tc>
          <w:tcPr>
            <w:tcW w:type="dxa" w:w="19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src/**, tests/**, CI scripts</w:t>
            </w:r>
          </w:p>
        </w:tc>
        <w:tc>
          <w:tcPr>
            <w:tcW w:type="dxa" w:w="17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Tests pass; Quality gate met; Owner sign-off</w:t>
            </w:r>
          </w:p>
        </w:tc>
      </w:tr>
    </w:tbl>
    <w:p>
      <w:pPr>
        <w:spacing w:before="60" w:after="60"/>
      </w:pPr>
    </w:p>
    <w:p>
      <w:pPr>
        <w:pStyle w:val="Heading2"/>
      </w:pPr>
      <w:r>
        <w:t xml:space="preserve">3.2 Phase 1 – Thesis (Claude)</w:t>
      </w:r>
    </w:p>
    <w:p>
      <w:pPr>
        <w:spacing w:after="120"/>
      </w:pPr>
      <w:r>
        <w:rPr>
          <w:sz w:val="21"/>
          <w:szCs w:val="21"/>
        </w:rPr>
        <w:t xml:space="preserve">Claude structures requirements, risks, and constraints into a formal blueprint. It defines the system’s objectives, scope, guardrails, and IO contracts through .aisync/BLUEPRINT.json and interface specification files (e.g., specs/01_interface_def.ts). Codex remains passive during this phase, optionally noting observation points for later red-team review. The phase concludes when all mandatory BLUEPRINT fields are populated and the System Owner grants explicit approval.</w:t>
      </w:r>
    </w:p>
    <w:p>
      <w:pPr>
        <w:pStyle w:val="Heading2"/>
      </w:pPr>
      <w:r>
        <w:t xml:space="preserve">3.3 Phase 2 – Antithesis (Codex Red Team)</w:t>
      </w:r>
    </w:p>
    <w:p>
      <w:pPr>
        <w:spacing w:after="120"/>
      </w:pPr>
      <w:r>
        <w:rPr>
          <w:sz w:val="21"/>
          <w:szCs w:val="21"/>
        </w:rPr>
        <w:t xml:space="preserve">Codex performs a systematic adversarial review against the confirmed BLUEPRINT and interface specifications. The review covers memory and resource leaks, concurrency and race conditions, hardware and infrastructure lifecycle risks, security vulnerabilities, and AI misuse scenarios. Each finding is documented in .aisync/AUDIT_LOG.md with evidence, potential PoC ideas, impact assessment, and suggested mitigations. Claude does not defend or justify its design during this phase—it only observes. The phase ends when the defined checklist is sufficiently covered and all critical blockers are explicitly documented.</w:t>
      </w:r>
    </w:p>
    <w:p>
      <w:pPr>
        <w:pStyle w:val="Heading2"/>
      </w:pPr>
      <w:r>
        <w:t xml:space="preserve">3.4 Phase 3 – Synthesis (Claude-Led Consensus)</w:t>
      </w:r>
    </w:p>
    <w:p>
      <w:pPr>
        <w:spacing w:after="120"/>
      </w:pPr>
      <w:r>
        <w:rPr>
          <w:sz w:val="21"/>
          <w:szCs w:val="21"/>
        </w:rPr>
        <w:t xml:space="preserve">Claude interprets the red-team findings and classifies each blocker as Accepted (will fix), Deferred (acknowledged but postponed with rationale), or Rejected (risk accepted with documented justification). Architecture, interfaces, and policies are updated accordingly. Codex contributes by evaluating implementation difficulty, migration risks, and test strategies for proposed design changes. The phase completes when all blockers have been dispositioned and the System Owner approves the final design.</w:t>
      </w:r>
    </w:p>
    <w:p>
      <w:pPr>
        <w:pStyle w:val="Heading2"/>
      </w:pPr>
      <w:r>
        <w:t xml:space="preserve">3.5 Phase 4 – Execution (Codex-Led Implementation)</w:t>
      </w:r>
    </w:p>
    <w:p>
      <w:pPr>
        <w:spacing w:after="120"/>
      </w:pPr>
      <w:r>
        <w:rPr>
          <w:sz w:val="21"/>
          <w:szCs w:val="21"/>
        </w:rPr>
        <w:t xml:space="preserve">Codex implements the agreed-upon design in src/ and tests/, including unit, integration, load, and security tests. It also creates and maintains CI/CD scripts and performs self-correction loops on test failures. Claude conducts high-level reviews to verify compliance with the BLUEPRINT, security policies, and IO contracts, and updates documentation (README, operational guides, CHANGELOG). The cycle completes when quality gates are met and the Owner authorizes release or iteration into the next cycle.</w:t>
      </w:r>
    </w:p>
    <w:p>
      <w:r>
        <w:br w:type="page"/>
      </w:r>
    </w:p>
    <w:p>
      <w:pPr>
        <w:pStyle w:val="Heading1"/>
      </w:pPr>
      <w:r>
        <w:t xml:space="preserve">4. Role Definition &amp; Responsibilities</w:t>
      </w:r>
    </w:p>
    <w:p>
      <w:pPr>
        <w:pStyle w:val="Heading2"/>
      </w:pPr>
      <w:r>
        <w:t xml:space="preserve">4.1 Claude Code – Architect / Coordinator / Narrator</w:t>
      </w:r>
    </w:p>
    <w:p>
      <w:pPr>
        <w:spacing w:after="80"/>
      </w:pPr>
      <w:r>
        <w:rPr>
          <w:b/>
          <w:bCs/>
          <w:sz w:val="21"/>
          <w:szCs w:val="21"/>
        </w:rPr>
        <w:t xml:space="preserve">Core responsibilities:</w:t>
      </w:r>
    </w:p>
    <w:p>
      <w:pPr>
        <w:pStyle w:val="ListParagraph"/>
        <w:numPr>
          <w:ilvl w:val="0"/>
          <w:numId w:val="2"/>
        </w:numPr>
        <w:spacing w:after="50"/>
      </w:pPr>
      <w:r>
        <w:rPr>
          <w:sz w:val="21"/>
          <w:szCs w:val="21"/>
        </w:rPr>
        <w:t xml:space="preserve">Structure requirements, risks, and constraints into formal design artifacts (BLUEPRINT.json, interface specs).</w:t>
      </w:r>
    </w:p>
    <w:p>
      <w:pPr>
        <w:pStyle w:val="ListParagraph"/>
        <w:numPr>
          <w:ilvl w:val="0"/>
          <w:numId w:val="2"/>
        </w:numPr>
        <w:spacing w:after="50"/>
      </w:pPr>
      <w:r>
        <w:rPr>
          <w:sz w:val="21"/>
          <w:szCs w:val="21"/>
        </w:rPr>
        <w:t xml:space="preserve">Interpret red-team results and make risk adjudication decisions during Synthesis.</w:t>
      </w:r>
    </w:p>
    <w:p>
      <w:pPr>
        <w:pStyle w:val="ListParagraph"/>
        <w:numPr>
          <w:ilvl w:val="0"/>
          <w:numId w:val="2"/>
        </w:numPr>
        <w:spacing w:after="50"/>
      </w:pPr>
      <w:r>
        <w:rPr>
          <w:sz w:val="21"/>
          <w:szCs w:val="21"/>
        </w:rPr>
        <w:t xml:space="preserve">Manage narrative artifacts: README, architecture docs, operational guides, CHANGELOG.</w:t>
      </w:r>
    </w:p>
    <w:p>
      <w:pPr>
        <w:pStyle w:val="ListParagraph"/>
        <w:numPr>
          <w:ilvl w:val="0"/>
          <w:numId w:val="2"/>
        </w:numPr>
        <w:spacing w:after="80"/>
      </w:pPr>
      <w:r>
        <w:rPr>
          <w:sz w:val="21"/>
          <w:szCs w:val="21"/>
        </w:rPr>
        <w:t xml:space="preserve">Conduct high-level compliance reviews during Execution phase.</w:t>
      </w:r>
    </w:p>
    <w:p>
      <w:pPr>
        <w:spacing w:after="80"/>
      </w:pPr>
      <w:r>
        <w:rPr>
          <w:b/>
          <w:bCs/>
          <w:sz w:val="21"/>
          <w:szCs w:val="21"/>
        </w:rPr>
        <w:t xml:space="preserve">Explicit constraints:</w:t>
      </w:r>
    </w:p>
    <w:p>
      <w:pPr>
        <w:pStyle w:val="ListParagraph"/>
        <w:numPr>
          <w:ilvl w:val="0"/>
          <w:numId w:val="2"/>
        </w:numPr>
        <w:spacing w:after="50"/>
      </w:pPr>
      <w:r>
        <w:rPr>
          <w:sz w:val="21"/>
          <w:szCs w:val="21"/>
        </w:rPr>
        <w:t xml:space="preserve">Must not write function-level implementation code directly.</w:t>
      </w:r>
    </w:p>
    <w:p>
      <w:pPr>
        <w:pStyle w:val="ListParagraph"/>
        <w:numPr>
          <w:ilvl w:val="0"/>
          <w:numId w:val="2"/>
        </w:numPr>
        <w:spacing w:after="80"/>
      </w:pPr>
      <w:r>
        <w:rPr>
          <w:sz w:val="21"/>
          <w:szCs w:val="21"/>
        </w:rPr>
        <w:t xml:space="preserve">Must not defend its design during the Antithesis phase; judgments are reserved for Synthesis.</w:t>
      </w:r>
    </w:p>
    <w:p>
      <w:pPr>
        <w:pStyle w:val="Heading2"/>
      </w:pPr>
      <w:r>
        <w:t xml:space="preserve">4.2 GPT-5.3-Codex – Builder / Red Team / Executor</w:t>
      </w:r>
    </w:p>
    <w:p>
      <w:pPr>
        <w:spacing w:after="80"/>
      </w:pPr>
      <w:r>
        <w:rPr>
          <w:b/>
          <w:bCs/>
          <w:sz w:val="21"/>
          <w:szCs w:val="21"/>
        </w:rPr>
        <w:t xml:space="preserve">Core responsibilities:</w:t>
      </w:r>
    </w:p>
    <w:p>
      <w:pPr>
        <w:pStyle w:val="ListParagraph"/>
        <w:numPr>
          <w:ilvl w:val="0"/>
          <w:numId w:val="2"/>
        </w:numPr>
        <w:spacing w:after="50"/>
      </w:pPr>
      <w:r>
        <w:rPr>
          <w:sz w:val="21"/>
          <w:szCs w:val="21"/>
        </w:rPr>
        <w:t xml:space="preserve">Perform systematic red-team reviews and document findings in AUDIT_LOG.md.</w:t>
      </w:r>
    </w:p>
    <w:p>
      <w:pPr>
        <w:pStyle w:val="ListParagraph"/>
        <w:numPr>
          <w:ilvl w:val="0"/>
          <w:numId w:val="2"/>
        </w:numPr>
        <w:spacing w:after="50"/>
      </w:pPr>
      <w:r>
        <w:rPr>
          <w:sz w:val="21"/>
          <w:szCs w:val="21"/>
        </w:rPr>
        <w:t xml:space="preserve">Implement production code (src/**), tests (tests/**), and CI/CD scripts.</w:t>
      </w:r>
    </w:p>
    <w:p>
      <w:pPr>
        <w:pStyle w:val="ListParagraph"/>
        <w:numPr>
          <w:ilvl w:val="0"/>
          <w:numId w:val="2"/>
        </w:numPr>
        <w:spacing w:after="50"/>
      </w:pPr>
      <w:r>
        <w:rPr>
          <w:sz w:val="21"/>
          <w:szCs w:val="21"/>
        </w:rPr>
        <w:t xml:space="preserve">Design and execute PoCs, benchmarks, and security tests for identified risks.</w:t>
      </w:r>
    </w:p>
    <w:p>
      <w:pPr>
        <w:pStyle w:val="ListParagraph"/>
        <w:numPr>
          <w:ilvl w:val="0"/>
          <w:numId w:val="2"/>
        </w:numPr>
        <w:spacing w:after="80"/>
      </w:pPr>
      <w:r>
        <w:rPr>
          <w:sz w:val="21"/>
          <w:szCs w:val="21"/>
        </w:rPr>
        <w:t xml:space="preserve">Evaluate implementation difficulty and migration risks for design changes proposed in Synthesis.</w:t>
      </w:r>
    </w:p>
    <w:p>
      <w:pPr>
        <w:spacing w:after="80"/>
      </w:pPr>
      <w:r>
        <w:rPr>
          <w:b/>
          <w:bCs/>
          <w:sz w:val="21"/>
          <w:szCs w:val="21"/>
        </w:rPr>
        <w:t xml:space="preserve">Explicit constraints:</w:t>
      </w:r>
    </w:p>
    <w:p>
      <w:pPr>
        <w:pStyle w:val="ListParagraph"/>
        <w:numPr>
          <w:ilvl w:val="0"/>
          <w:numId w:val="2"/>
        </w:numPr>
        <w:spacing w:after="50"/>
      </w:pPr>
      <w:r>
        <w:rPr>
          <w:sz w:val="21"/>
          <w:szCs w:val="21"/>
        </w:rPr>
        <w:t xml:space="preserve">Must not modify BLUEPRINT-level structural design directly (proposals via issues/comments only).</w:t>
      </w:r>
    </w:p>
    <w:p>
      <w:pPr>
        <w:pStyle w:val="ListParagraph"/>
        <w:numPr>
          <w:ilvl w:val="0"/>
          <w:numId w:val="2"/>
        </w:numPr>
        <w:spacing w:after="80"/>
      </w:pPr>
      <w:r>
        <w:rPr>
          <w:sz w:val="21"/>
          <w:szCs w:val="21"/>
        </w:rPr>
        <w:t xml:space="preserve">Must not make final policy/priority decisions—always defers to Claude or System Owner.</w:t>
      </w:r>
    </w:p>
    <w:p>
      <w:pPr>
        <w:pStyle w:val="Heading2"/>
      </w:pPr>
      <w:r>
        <w:t xml:space="preserve">4.3 Artifact–Model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Artifact</w:t>
            </w:r>
          </w:p>
        </w:tc>
        <w:tc>
          <w:tcPr>
            <w:tcW w:type="dxa" w:w="208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Primary Owner</w:t>
            </w:r>
          </w:p>
        </w:tc>
        <w:tc>
          <w:tcPr>
            <w:tcW w:type="dxa" w:w="408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Secondary Role</w:t>
            </w:r>
          </w:p>
        </w:tc>
      </w:tr>
      <w:tr>
        <w:tc>
          <w:tcPr>
            <w:tcW w:type="dxa" w:w="3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.aisync/BLUEPRINT.json</w:t>
            </w:r>
          </w:p>
        </w:tc>
        <w:tc>
          <w:tcPr>
            <w:tcW w:type="dxa" w:w="208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Claude</w:t>
            </w:r>
          </w:p>
        </w:tc>
        <w:tc>
          <w:tcPr>
            <w:tcW w:type="dxa" w:w="408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Codex: Red-team observation notes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.aisync/AUDIT_LOG.md</w:t>
            </w:r>
          </w:p>
        </w:tc>
        <w:tc>
          <w:tcPr>
            <w:tcW w:type="dxa" w:w="208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Codex</w:t>
            </w:r>
          </w:p>
        </w:tc>
        <w:tc>
          <w:tcPr>
            <w:tcW w:type="dxa" w:w="408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Claude: Blocker adjudication in Synthesis</w:t>
            </w:r>
          </w:p>
        </w:tc>
      </w:tr>
      <w:tr>
        <w:tc>
          <w:tcPr>
            <w:tcW w:type="dxa" w:w="3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specs/01_interface_def.ts</w:t>
            </w:r>
          </w:p>
        </w:tc>
        <w:tc>
          <w:tcPr>
            <w:tcW w:type="dxa" w:w="208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Claude</w:t>
            </w:r>
          </w:p>
        </w:tc>
        <w:tc>
          <w:tcPr>
            <w:tcW w:type="dxa" w:w="408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Codex: Implementation/test perspective feedback</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src/** &amp; tests/**</w:t>
            </w:r>
          </w:p>
        </w:tc>
        <w:tc>
          <w:tcPr>
            <w:tcW w:type="dxa" w:w="208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Codex</w:t>
            </w:r>
          </w:p>
        </w:tc>
        <w:tc>
          <w:tcPr>
            <w:tcW w:type="dxa" w:w="408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Claude: Contract/security compliance review</w:t>
            </w:r>
          </w:p>
        </w:tc>
      </w:tr>
      <w:tr>
        <w:tc>
          <w:tcPr>
            <w:tcW w:type="dxa" w:w="3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STATE.yaml</w:t>
            </w:r>
          </w:p>
        </w:tc>
        <w:tc>
          <w:tcPr>
            <w:tcW w:type="dxa" w:w="208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.ai_sync Manager</w:t>
            </w:r>
          </w:p>
        </w:tc>
        <w:tc>
          <w:tcPr>
            <w:tcW w:type="dxa" w:w="408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Both models read/update; Owner final approval</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docs/**, README, CHANGELOG</w:t>
            </w:r>
          </w:p>
        </w:tc>
        <w:tc>
          <w:tcPr>
            <w:tcW w:type="dxa" w:w="208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Claude</w:t>
            </w:r>
          </w:p>
        </w:tc>
        <w:tc>
          <w:tcPr>
            <w:tcW w:type="dxa" w:w="408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Codex: Code examples, CLI usage</w:t>
            </w:r>
          </w:p>
        </w:tc>
      </w:tr>
    </w:tbl>
    <w:p>
      <w:r>
        <w:br w:type="page"/>
      </w:r>
    </w:p>
    <w:p>
      <w:pPr>
        <w:pStyle w:val="Heading1"/>
      </w:pPr>
      <w:r>
        <w:t xml:space="preserve">5. State Management &amp; Automation</w:t>
      </w:r>
    </w:p>
    <w:p>
      <w:pPr>
        <w:pStyle w:val="Heading2"/>
      </w:pPr>
      <w:r>
        <w:t xml:space="preserve">5.1 STATE.yaml Schema</w:t>
      </w:r>
    </w:p>
    <w:p>
      <w:pPr>
        <w:spacing w:after="120"/>
      </w:pPr>
      <w:r>
        <w:rPr>
          <w:sz w:val="21"/>
          <w:szCs w:val="21"/>
        </w:rPr>
        <w:t xml:space="preserve">All protocol state is persisted in a single STATE.yaml file under version control. The schema tracks the current phase, the owning model, blocking status, artifact commit SHAs, and a structured blocker registry with Accept/Defer/Reject disposition tracking. This explicit state management ensures that the protocol is fully stateless at the agent level—any agent instance can resume work by reading STATE.yaml and the associated artifacts.</w:t>
      </w:r>
    </w:p>
    <w:p>
      <w:pPr>
        <w:pStyle w:val="Heading2"/>
      </w:pPr>
      <w:r>
        <w:t xml:space="preserve">5.2 .ai_sync Manager</w:t>
      </w:r>
    </w:p>
    <w:p>
      <w:pPr>
        <w:spacing w:after="80"/>
      </w:pPr>
      <w:r>
        <w:rPr>
          <w:sz w:val="21"/>
          <w:szCs w:val="21"/>
        </w:rPr>
        <w:t xml:space="preserve">The .ai_sync Manager is a lightweight state machine that enforces phase transition rules and provides CLI tools for workflow management:</w:t>
      </w:r>
    </w:p>
    <w:p>
      <w:pPr>
        <w:pStyle w:val="ListParagraph"/>
        <w:numPr>
          <w:ilvl w:val="0"/>
          <w:numId w:val="2"/>
        </w:numPr>
        <w:spacing w:after="50"/>
      </w:pPr>
      <w:r>
        <w:rPr>
          <w:b/>
          <w:bCs/>
          <w:sz w:val="21"/>
          <w:szCs w:val="21"/>
        </w:rPr>
        <w:t xml:space="preserve">ai-sync status: </w:t>
      </w:r>
      <w:r>
        <w:rPr>
          <w:sz w:val="21"/>
          <w:szCs w:val="21"/>
        </w:rPr>
        <w:t xml:space="preserve">Displays a summary of STATE.yaml including current phase, owner, blockers, and artifact hashes.</w:t>
      </w:r>
    </w:p>
    <w:p>
      <w:pPr>
        <w:pStyle w:val="ListParagraph"/>
        <w:numPr>
          <w:ilvl w:val="0"/>
          <w:numId w:val="2"/>
        </w:numPr>
        <w:spacing w:after="50"/>
      </w:pPr>
      <w:r>
        <w:rPr>
          <w:b/>
          <w:bCs/>
          <w:sz w:val="21"/>
          <w:szCs w:val="21"/>
        </w:rPr>
        <w:t xml:space="preserve">ai-sync next: </w:t>
      </w:r>
      <w:r>
        <w:rPr>
          <w:sz w:val="21"/>
          <w:szCs w:val="21"/>
        </w:rPr>
        <w:t xml:space="preserve">Validates transition prerequisites and advances the phase, or explains why the transition is blocked.</w:t>
      </w:r>
    </w:p>
    <w:p>
      <w:pPr>
        <w:pStyle w:val="ListParagraph"/>
        <w:numPr>
          <w:ilvl w:val="0"/>
          <w:numId w:val="2"/>
        </w:numPr>
        <w:spacing w:after="80"/>
      </w:pPr>
      <w:r>
        <w:rPr>
          <w:b/>
          <w:bCs/>
          <w:sz w:val="21"/>
          <w:szCs w:val="21"/>
        </w:rPr>
        <w:t xml:space="preserve">ai-sync check: </w:t>
      </w:r>
      <w:r>
        <w:rPr>
          <w:sz w:val="21"/>
          <w:szCs w:val="21"/>
        </w:rPr>
        <w:t xml:space="preserve">Validates the existence, format, and completeness of required artifacts (BLUEPRINT, AUDIT_LOG, specs, etc.).</w:t>
      </w:r>
    </w:p>
    <w:p>
      <w:pPr>
        <w:pStyle w:val="Heading2"/>
      </w:pPr>
      <w:r>
        <w:t xml:space="preserve">5.3 Consensus Failure Handling</w:t>
      </w:r>
    </w:p>
    <w:p>
      <w:pPr>
        <w:spacing w:after="120"/>
      </w:pPr>
      <w:r>
        <w:rPr>
          <w:sz w:val="21"/>
          <w:szCs w:val="21"/>
        </w:rPr>
        <w:t xml:space="preserve">When the two models cannot reach agreement during Synthesis, the system sets status to CONSENSUS_BLOCKED with the blocking_model and reason fields populated. An automatic notification is dispatched to the System Owner requesting human intervention. This escalation mechanism ensures that fundamental design disagreements are resolved by human judgment rather than by one model overriding the other.</w:t>
      </w:r>
    </w:p>
    <w:p>
      <w:r>
        <w:br w:type="page"/>
      </w:r>
    </w:p>
    <w:p>
      <w:pPr>
        <w:pStyle w:val="Heading1"/>
      </w:pPr>
      <w:r>
        <w:t xml:space="preserve">6. Language Policy</w:t>
      </w:r>
    </w:p>
    <w:p>
      <w:pPr>
        <w:spacing w:after="120"/>
      </w:pPr>
      <w:r>
        <w:rPr>
          <w:sz w:val="21"/>
          <w:szCs w:val="21"/>
        </w:rPr>
        <w:t xml:space="preserve">The protocol adopts a bilingual strategy designed to maximize agent performance while preserving accessibility for the Korean-speaking System Owner.</w:t>
      </w:r>
    </w:p>
    <w:p>
      <w:pPr>
        <w:pStyle w:val="Heading2"/>
      </w:pPr>
      <w:r>
        <w:t xml:space="preserve">6.1 Core Principle</w:t>
      </w:r>
    </w:p>
    <w:p>
      <w:pPr>
        <w:spacing w:after="120"/>
      </w:pPr>
      <w:r>
        <w:rPr>
          <w:sz w:val="21"/>
          <w:szCs w:val="21"/>
        </w:rPr>
        <w:t xml:space="preserve">The System Owner communicates freely in Korean or English. All internal artifacts—design documents, code, comments, logs, templates, and inter-agent communications—are authored in English by default. This decision is grounded in empirical evidence: frontier LLMs including Claude and GPT families are trained predominantly on English data with English-optimized tokenizers, resulting in measurably higher token efficiency and accuracy for technical content in English. Research benchmarks confirm that while these models handle Korean well for general tasks, code generation, tool calling, and technical specification tasks produce more consistent and stable results in English.</w:t>
      </w:r>
    </w:p>
    <w:p>
      <w:pPr>
        <w:pStyle w:val="Heading2"/>
      </w:pPr>
      <w:r>
        <w:t xml:space="preserve">6.2 Artifact-Level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Artifact Type</w:t>
            </w:r>
          </w:p>
        </w:tc>
        <w:tc>
          <w:tcPr>
            <w:tcW w:type="dxa" w:w="32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Language</w:t>
            </w:r>
          </w:p>
        </w:tc>
        <w:tc>
          <w:tcPr>
            <w:tcW w:type="dxa" w:w="316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Korean Allowed</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BLUEPRINT.json</w:t>
            </w:r>
          </w:p>
        </w:tc>
        <w:tc>
          <w:tcPr>
            <w:tcW w:type="dxa" w:w="3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English (all keys and values)</w:t>
            </w:r>
          </w:p>
        </w:tc>
        <w:tc>
          <w:tcPr>
            <w:tcW w:type="dxa" w:w="31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Separate "notes_ko" field only</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AUDIT_LOG.md</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English (review body)</w:t>
            </w:r>
          </w:p>
        </w:tc>
        <w:tc>
          <w:tcPr>
            <w:tcW w:type="dxa" w:w="3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Owner Notes section at bottom</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specs/*, src/*, tests/*</w:t>
            </w:r>
          </w:p>
        </w:tc>
        <w:tc>
          <w:tcPr>
            <w:tcW w:type="dxa" w:w="3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English (code, comments, logs)</w:t>
            </w:r>
          </w:p>
        </w:tc>
        <w:tc>
          <w:tcPr>
            <w:tcW w:type="dxa" w:w="31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i18n resource files for UI strings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STATE.yaml</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English (keys and values)</w:t>
            </w:r>
          </w:p>
        </w:tc>
        <w:tc>
          <w:tcPr>
            <w:tcW w:type="dxa" w:w="3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YAML comments (# ...) only</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docs/**, README</w:t>
            </w:r>
          </w:p>
        </w:tc>
        <w:tc>
          <w:tcPr>
            <w:tcW w:type="dxa" w:w="3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English (source of truth)</w:t>
            </w:r>
          </w:p>
        </w:tc>
        <w:tc>
          <w:tcPr>
            <w:tcW w:type="dxa" w:w="31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docs/ko/** for Korean versions</w:t>
            </w:r>
          </w:p>
        </w:tc>
      </w:tr>
    </w:tbl>
    <w:p>
      <w:r>
        <w:br w:type="page"/>
      </w:r>
    </w:p>
    <w:p>
      <w:pPr>
        <w:pStyle w:val="Heading1"/>
      </w:pPr>
      <w:r>
        <w:t xml:space="preserve">7. Market Context &amp; Technical Landscape</w:t>
      </w:r>
    </w:p>
    <w:p>
      <w:pPr>
        <w:pStyle w:val="Heading2"/>
      </w:pPr>
      <w:r>
        <w:t xml:space="preserve">7.1 Protocol Standards Ecosystem</w:t>
      </w:r>
    </w:p>
    <w:p>
      <w:pPr>
        <w:spacing w:after="120"/>
      </w:pPr>
      <w:r>
        <w:rPr>
          <w:sz w:val="21"/>
          <w:szCs w:val="21"/>
        </w:rPr>
        <w:t xml:space="preserve">The TITLE Protocol operates within a rapidly maturing standards ecosystem. Anthropic’s MCP standardizes agent-tool connections, while Google’s A2A protocol addresses agent-to-agent communication. Both were donated to the Linux Foundation in 2025, establishing them as open standards. Additional protocols like ACP (Agent Communication Protocol), ANP (Agent Network Protocol), and AG-UI (Agent–User Interface) further enrich the interoperability landscape. The TITLE Protocol’s .ai_sync state management is designed to be compatible with these emerging standards, particularly MCP for tool integration and A2A for potential future inter-agent messaging.</w:t>
      </w:r>
    </w:p>
    <w:p>
      <w:pPr>
        <w:pStyle w:val="Heading2"/>
      </w:pPr>
      <w:r>
        <w:t xml:space="preserve">7.2 Competitive Positioning</w:t>
      </w:r>
    </w:p>
    <w:p>
      <w:pPr>
        <w:spacing w:after="120"/>
      </w:pPr>
      <w:r>
        <w:rPr>
          <w:sz w:val="21"/>
          <w:szCs w:val="21"/>
        </w:rPr>
        <w:t xml:space="preserve">GitHub’s Agent HQ platform validates the multi-model approach by enabling Claude, Codex, and Copilot to operate on the same codebase with task-specific routing. The TITLE Protocol goes further by imposing a structured dialectical workflow that prevents the common failure mode of AI-assisted development: generating plausible-looking code that harbors subtle architectural or security flaws. According to the 2025 Stack Overflow survey, 66% of developers report frustration with AI solutions that are almost right, and 45% find that debugging AI-generated code takes longer than writing it themselves. The adversarial red-team phase directly addresses this by catching issues before they enter the codebase.</w:t>
      </w:r>
    </w:p>
    <w:p>
      <w:pPr>
        <w:pStyle w:val="Heading2"/>
      </w:pPr>
      <w:r>
        <w:t xml:space="preserve">7.3 Model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Benchmark / Capability</w:t>
            </w:r>
          </w:p>
        </w:tc>
        <w:tc>
          <w:tcPr>
            <w:tcW w:type="dxa" w:w="293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Claude Code</w:t>
            </w:r>
          </w:p>
        </w:tc>
        <w:tc>
          <w:tcPr>
            <w:tcW w:type="dxa" w:w="293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GPT-5.3-Codex</w:t>
            </w:r>
          </w:p>
        </w:tc>
      </w:tr>
      <w:tr>
        <w:tc>
          <w:tcPr>
            <w:tcW w:type="dxa" w:w="35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Context Window</w:t>
            </w:r>
          </w:p>
        </w:tc>
        <w:tc>
          <w:tcPr>
            <w:tcW w:type="dxa" w:w="293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200K–1M tokens</w:t>
            </w:r>
          </w:p>
        </w:tc>
        <w:tc>
          <w:tcPr>
            <w:tcW w:type="dxa" w:w="293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400K tokens</w:t>
            </w:r>
          </w:p>
        </w:tc>
      </w:tr>
      <w:tr>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Architectural Reasoning</w:t>
            </w:r>
          </w:p>
        </w:tc>
        <w:tc>
          <w:tcPr>
            <w:tcW w:type="dxa" w:w="293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Strength (maintainability-first)</w:t>
            </w:r>
          </w:p>
        </w:tc>
        <w:tc>
          <w:tcPr>
            <w:tcW w:type="dxa" w:w="293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Good (speed-first)</w:t>
            </w:r>
          </w:p>
        </w:tc>
      </w:tr>
      <w:tr>
        <w:tc>
          <w:tcPr>
            <w:tcW w:type="dxa" w:w="35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Code Execution / Testing</w:t>
            </w:r>
          </w:p>
        </w:tc>
        <w:tc>
          <w:tcPr>
            <w:tcW w:type="dxa" w:w="293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Good</w:t>
            </w:r>
          </w:p>
        </w:tc>
        <w:tc>
          <w:tcPr>
            <w:tcW w:type="dxa" w:w="293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Strength (sustained sessions)</w:t>
            </w:r>
          </w:p>
        </w:tc>
      </w:tr>
      <w:tr>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Vulnerability Detection / PoC</w:t>
            </w:r>
          </w:p>
        </w:tc>
        <w:tc>
          <w:tcPr>
            <w:tcW w:type="dxa" w:w="293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Good</w:t>
            </w:r>
          </w:p>
        </w:tc>
        <w:tc>
          <w:tcPr>
            <w:tcW w:type="dxa" w:w="293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Strength</w:t>
            </w:r>
          </w:p>
        </w:tc>
      </w:tr>
      <w:tr>
        <w:tc>
          <w:tcPr>
            <w:tcW w:type="dxa" w:w="35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Token Efficiency (Cost)</w:t>
            </w:r>
          </w:p>
        </w:tc>
        <w:tc>
          <w:tcPr>
            <w:tcW w:type="dxa" w:w="293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Higher cost per token</w:t>
            </w:r>
          </w:p>
        </w:tc>
        <w:tc>
          <w:tcPr>
            <w:tcW w:type="dxa" w:w="293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~3x more efficient</w:t>
            </w:r>
          </w:p>
        </w:tc>
      </w:tr>
      <w:tr>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Documentation / Narrative</w:t>
            </w:r>
          </w:p>
        </w:tc>
        <w:tc>
          <w:tcPr>
            <w:tcW w:type="dxa" w:w="293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Strength</w:t>
            </w:r>
          </w:p>
        </w:tc>
        <w:tc>
          <w:tcPr>
            <w:tcW w:type="dxa" w:w="293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Adequate</w:t>
            </w:r>
          </w:p>
        </w:tc>
      </w:tr>
    </w:tbl>
    <w:p>
      <w:r>
        <w:br w:type="page"/>
      </w:r>
    </w:p>
    <w:p>
      <w:pPr>
        <w:pStyle w:val="Heading1"/>
      </w:pPr>
      <w:r>
        <w:t xml:space="preserve">8. Implementation Roadmap</w:t>
      </w:r>
    </w:p>
    <w:p>
      <w:pPr>
        <w:pStyle w:val="Heading2"/>
      </w:pPr>
      <w:r>
        <w:t xml:space="preserve">8.1 Phase I – Foundation (Weeks 1–3)</w:t>
      </w:r>
    </w:p>
    <w:p>
      <w:pPr>
        <w:pStyle w:val="ListParagraph"/>
        <w:numPr>
          <w:ilvl w:val="0"/>
          <w:numId w:val="3"/>
        </w:numPr>
        <w:spacing w:after="50"/>
      </w:pPr>
      <w:r>
        <w:rPr>
          <w:sz w:val="21"/>
          <w:szCs w:val="21"/>
        </w:rPr>
        <w:t xml:space="preserve">Repository initialization with .aisync/ directory structure, STATE.yaml, and Git hooks.</w:t>
      </w:r>
    </w:p>
    <w:p>
      <w:pPr>
        <w:pStyle w:val="ListParagraph"/>
        <w:numPr>
          <w:ilvl w:val="0"/>
          <w:numId w:val="3"/>
        </w:numPr>
        <w:spacing w:after="50"/>
      </w:pPr>
      <w:r>
        <w:rPr>
          <w:sz w:val="21"/>
          <w:szCs w:val="21"/>
        </w:rPr>
        <w:t xml:space="preserve">Implement .ai_sync Manager CLI (ai-sync status | next | check) in Python.</w:t>
      </w:r>
    </w:p>
    <w:p>
      <w:pPr>
        <w:pStyle w:val="ListParagraph"/>
        <w:numPr>
          <w:ilvl w:val="0"/>
          <w:numId w:val="3"/>
        </w:numPr>
        <w:spacing w:after="50"/>
      </w:pPr>
      <w:r>
        <w:rPr>
          <w:sz w:val="21"/>
          <w:szCs w:val="21"/>
        </w:rPr>
        <w:t xml:space="preserve">Create BLUEPRINT.json and AUDIT_LOG.md templates with validation schemas.</w:t>
      </w:r>
    </w:p>
    <w:p>
      <w:pPr>
        <w:pStyle w:val="ListParagraph"/>
        <w:numPr>
          <w:ilvl w:val="0"/>
          <w:numId w:val="3"/>
        </w:numPr>
        <w:spacing w:after="80"/>
      </w:pPr>
      <w:r>
        <w:rPr>
          <w:sz w:val="21"/>
          <w:szCs w:val="21"/>
        </w:rPr>
        <w:t xml:space="preserve">Establish language policy enforcement (linting rules for English-only code artifacts).</w:t>
      </w:r>
    </w:p>
    <w:p>
      <w:pPr>
        <w:pStyle w:val="Heading2"/>
      </w:pPr>
      <w:r>
        <w:t xml:space="preserve">8.2 Phase II – Pilot Project (Weeks 4–8)</w:t>
      </w:r>
    </w:p>
    <w:p>
      <w:pPr>
        <w:pStyle w:val="ListParagraph"/>
        <w:numPr>
          <w:ilvl w:val="0"/>
          <w:numId w:val="3"/>
        </w:numPr>
        <w:spacing w:after="50"/>
      </w:pPr>
      <w:r>
        <w:rPr>
          <w:sz w:val="21"/>
          <w:szCs w:val="21"/>
        </w:rPr>
        <w:t xml:space="preserve">Select initial target project (e.g., Secure AI Assistant for Internal Mesh).</w:t>
      </w:r>
    </w:p>
    <w:p>
      <w:pPr>
        <w:pStyle w:val="ListParagraph"/>
        <w:numPr>
          <w:ilvl w:val="0"/>
          <w:numId w:val="3"/>
        </w:numPr>
        <w:spacing w:after="50"/>
      </w:pPr>
      <w:r>
        <w:rPr>
          <w:sz w:val="21"/>
          <w:szCs w:val="21"/>
        </w:rPr>
        <w:t xml:space="preserve">Execute first complete Thesis → Antithesis → Synthesis → Execution cycle.</w:t>
      </w:r>
    </w:p>
    <w:p>
      <w:pPr>
        <w:pStyle w:val="ListParagraph"/>
        <w:numPr>
          <w:ilvl w:val="0"/>
          <w:numId w:val="3"/>
        </w:numPr>
        <w:spacing w:after="50"/>
      </w:pPr>
      <w:r>
        <w:rPr>
          <w:sz w:val="21"/>
          <w:szCs w:val="21"/>
        </w:rPr>
        <w:t xml:space="preserve">Collect metrics: cycle time, defect density, blocker resolution rate, token usage.</w:t>
      </w:r>
    </w:p>
    <w:p>
      <w:pPr>
        <w:pStyle w:val="ListParagraph"/>
        <w:numPr>
          <w:ilvl w:val="0"/>
          <w:numId w:val="3"/>
        </w:numPr>
        <w:spacing w:after="80"/>
      </w:pPr>
      <w:r>
        <w:rPr>
          <w:sz w:val="21"/>
          <w:szCs w:val="21"/>
        </w:rPr>
        <w:t xml:space="preserve">Refine protocol based on observed friction points and agent behavior patterns.</w:t>
      </w:r>
    </w:p>
    <w:p>
      <w:pPr>
        <w:pStyle w:val="Heading2"/>
      </w:pPr>
      <w:r>
        <w:t xml:space="preserve">8.3 Phase III – Scaling &amp; Integration (Weeks 9–16)</w:t>
      </w:r>
    </w:p>
    <w:p>
      <w:pPr>
        <w:pStyle w:val="ListParagraph"/>
        <w:numPr>
          <w:ilvl w:val="0"/>
          <w:numId w:val="3"/>
        </w:numPr>
        <w:spacing w:after="50"/>
      </w:pPr>
      <w:r>
        <w:rPr>
          <w:sz w:val="21"/>
          <w:szCs w:val="21"/>
        </w:rPr>
        <w:t xml:space="preserve">Integrate MCP protocol support for standardized tool connections.</w:t>
      </w:r>
    </w:p>
    <w:p>
      <w:pPr>
        <w:pStyle w:val="ListParagraph"/>
        <w:numPr>
          <w:ilvl w:val="0"/>
          <w:numId w:val="3"/>
        </w:numPr>
        <w:spacing w:after="50"/>
      </w:pPr>
      <w:r>
        <w:rPr>
          <w:sz w:val="21"/>
          <w:szCs w:val="21"/>
        </w:rPr>
        <w:t xml:space="preserve">Add Gitea webhook integration for automated phase-transition notifications.</w:t>
      </w:r>
    </w:p>
    <w:p>
      <w:pPr>
        <w:pStyle w:val="ListParagraph"/>
        <w:numPr>
          <w:ilvl w:val="0"/>
          <w:numId w:val="3"/>
        </w:numPr>
        <w:spacing w:after="50"/>
      </w:pPr>
      <w:r>
        <w:rPr>
          <w:sz w:val="21"/>
          <w:szCs w:val="21"/>
        </w:rPr>
        <w:t xml:space="preserve">Implement automated CI quality gates that feed back into STATE.yaml.</w:t>
      </w:r>
    </w:p>
    <w:p>
      <w:pPr>
        <w:pStyle w:val="ListParagraph"/>
        <w:numPr>
          <w:ilvl w:val="0"/>
          <w:numId w:val="3"/>
        </w:numPr>
        <w:spacing w:after="80"/>
      </w:pPr>
      <w:r>
        <w:rPr>
          <w:sz w:val="21"/>
          <w:szCs w:val="21"/>
        </w:rPr>
        <w:t xml:space="preserve">Apply protocol to second project to validate generalizability.</w:t>
      </w:r>
    </w:p>
    <w:p>
      <w:pPr>
        <w:pStyle w:val="Heading2"/>
      </w:pPr>
      <w:r>
        <w:t xml:space="preserve">8.4 Phase IV – Maturity &amp; Governance (Weeks 17+)</w:t>
      </w:r>
    </w:p>
    <w:p>
      <w:pPr>
        <w:pStyle w:val="ListParagraph"/>
        <w:numPr>
          <w:ilvl w:val="0"/>
          <w:numId w:val="3"/>
        </w:numPr>
        <w:spacing w:after="50"/>
      </w:pPr>
      <w:r>
        <w:rPr>
          <w:sz w:val="21"/>
          <w:szCs w:val="21"/>
        </w:rPr>
        <w:t xml:space="preserve">Establish protocol versioning and change management process.</w:t>
      </w:r>
    </w:p>
    <w:p>
      <w:pPr>
        <w:pStyle w:val="ListParagraph"/>
        <w:numPr>
          <w:ilvl w:val="0"/>
          <w:numId w:val="3"/>
        </w:numPr>
        <w:spacing w:after="50"/>
      </w:pPr>
      <w:r>
        <w:rPr>
          <w:sz w:val="21"/>
          <w:szCs w:val="21"/>
        </w:rPr>
        <w:t xml:space="preserve">Build historical analytics dashboard from STATE.yaml and AUDIT_LOG data.</w:t>
      </w:r>
    </w:p>
    <w:p>
      <w:pPr>
        <w:pStyle w:val="ListParagraph"/>
        <w:numPr>
          <w:ilvl w:val="0"/>
          <w:numId w:val="3"/>
        </w:numPr>
        <w:spacing w:after="50"/>
      </w:pPr>
      <w:r>
        <w:rPr>
          <w:sz w:val="21"/>
          <w:szCs w:val="21"/>
        </w:rPr>
        <w:t xml:space="preserve">Evaluate A2A protocol integration for multi-agent cross-project communication.</w:t>
      </w:r>
    </w:p>
    <w:p>
      <w:pPr>
        <w:pStyle w:val="ListParagraph"/>
        <w:numPr>
          <w:ilvl w:val="0"/>
          <w:numId w:val="3"/>
        </w:numPr>
        <w:spacing w:after="80"/>
      </w:pPr>
      <w:r>
        <w:rPr>
          <w:sz w:val="21"/>
          <w:szCs w:val="21"/>
        </w:rPr>
        <w:t xml:space="preserve">Document lessons learned and publish internal protocol guide.</w:t>
      </w:r>
    </w:p>
    <w:p>
      <w:r>
        <w:br w:type="page"/>
      </w:r>
    </w:p>
    <w:p>
      <w:pPr>
        <w:pStyle w:val="Heading1"/>
      </w:pPr>
      <w:r>
        <w:t xml:space="preserve">9.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Risk</w:t>
            </w:r>
          </w:p>
        </w:tc>
        <w:tc>
          <w:tcPr>
            <w:tcW w:type="dxa" w:w="12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Likelihood</w:t>
            </w:r>
          </w:p>
        </w:tc>
        <w:tc>
          <w:tcPr>
            <w:tcW w:type="dxa" w:w="120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Impact</w:t>
            </w:r>
          </w:p>
        </w:tc>
        <w:tc>
          <w:tcPr>
            <w:tcW w:type="dxa" w:w="4760"/>
            <w:gridSpan w:val="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40" w:after="40"/>
              <w:jc w:val="left"/>
            </w:pPr>
            <w:r>
              <w:rPr>
                <w:rFonts w:ascii="Arial" w:cs="Arial" w:eastAsia="Arial" w:hAnsi="Arial"/>
                <w:b/>
                <w:bCs/>
                <w:color w:val="FFFFFF"/>
                <w:sz w:val="19"/>
                <w:szCs w:val="19"/>
              </w:rPr>
              <w:t xml:space="preserve">Mitigation Strategy</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Model API downtime or rate limits</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Medium</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High</w:t>
            </w:r>
          </w:p>
        </w:tc>
        <w:tc>
          <w:tcPr>
            <w:tcW w:type="dxa" w:w="47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Stateless design allows resume from STATE.yaml; local model fallback (Ollama) for non-critical tasks.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Consensus deadlock between models</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Low</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Medium</w:t>
            </w:r>
          </w:p>
        </w:tc>
        <w:tc>
          <w:tcPr>
            <w:tcW w:type="dxa" w:w="47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CONSENSUS_BLOCKED state triggers automatic System Owner escalation; time-boxed resolution protocol.</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Design-implementation drift</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Medium</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High</w:t>
            </w:r>
          </w:p>
        </w:tc>
        <w:tc>
          <w:tcPr>
            <w:tcW w:type="dxa" w:w="47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Claude’s high-level review in Execution phase; CI checks against BLUEPRINT IO contracts; artifact SHA tracking.</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Token cost escalation</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Medium</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Medium</w:t>
            </w:r>
          </w:p>
        </w:tc>
        <w:tc>
          <w:tcPr>
            <w:tcW w:type="dxa" w:w="47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Route high-volume execution tasks to Codex (3x efficiency); reserve Claude for design/review phases only.</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Red-team false positives</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Medium</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Low</w:t>
            </w:r>
          </w:p>
        </w:tc>
        <w:tc>
          <w:tcPr>
            <w:tcW w:type="dxa" w:w="476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Synthesis phase adjudicates all findings; Reject disposition available with documented rationale.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Subscription expiration</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High</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High</w:t>
            </w:r>
          </w:p>
        </w:tc>
        <w:tc>
          <w:tcPr>
            <w:tcW w:type="dxa" w:w="47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40" w:after="40"/>
              <w:jc w:val="left"/>
            </w:pPr>
            <w:r>
              <w:rPr>
                <w:rFonts w:ascii="Arial" w:cs="Arial" w:eastAsia="Arial" w:hAnsi="Arial"/>
                <w:b w:val="false"/>
                <w:bCs w:val="false"/>
                <w:color w:val="333333"/>
                <w:sz w:val="19"/>
                <w:szCs w:val="19"/>
              </w:rPr>
              <w:t xml:space="preserve">Milestone-driven harvest calendar; all artifacts in Git; protocol designed for model substitution.</w:t>
            </w:r>
          </w:p>
        </w:tc>
      </w:tr>
    </w:tbl>
    <w:p>
      <w:r>
        <w:br w:type="page"/>
      </w:r>
    </w:p>
    <w:p>
      <w:pPr>
        <w:pStyle w:val="Heading1"/>
      </w:pPr>
      <w:r>
        <w:t xml:space="preserve">10. Expected Outcomes &amp; Success Metrics</w:t>
      </w:r>
    </w:p>
    <w:p>
      <w:pPr>
        <w:pStyle w:val="Heading2"/>
      </w:pPr>
      <w:r>
        <w:t xml:space="preserve">10.1 Quantitative Targets</w:t>
      </w:r>
    </w:p>
    <w:p>
      <w:pPr>
        <w:pStyle w:val="ListParagraph"/>
        <w:numPr>
          <w:ilvl w:val="0"/>
          <w:numId w:val="2"/>
        </w:numPr>
        <w:spacing w:after="60"/>
      </w:pPr>
      <w:r>
        <w:rPr>
          <w:sz w:val="21"/>
          <w:szCs w:val="21"/>
        </w:rPr>
        <w:t xml:space="preserve">Defect reduction: Target 30–40% fewer post-deployment defects compared to single-agent workflows, consistent with industry benchmarks for multi-LLM integration.</w:t>
      </w:r>
    </w:p>
    <w:p>
      <w:pPr>
        <w:pStyle w:val="ListParagraph"/>
        <w:numPr>
          <w:ilvl w:val="0"/>
          <w:numId w:val="2"/>
        </w:numPr>
        <w:spacing w:after="60"/>
      </w:pPr>
      <w:r>
        <w:rPr>
          <w:sz w:val="21"/>
          <w:szCs w:val="21"/>
        </w:rPr>
        <w:t xml:space="preserve">Cycle efficiency: Complete Thesis→Execution cycle within 2–3 days for medium-complexity features.</w:t>
      </w:r>
    </w:p>
    <w:p>
      <w:pPr>
        <w:pStyle w:val="ListParagraph"/>
        <w:numPr>
          <w:ilvl w:val="0"/>
          <w:numId w:val="2"/>
        </w:numPr>
        <w:spacing w:after="60"/>
      </w:pPr>
      <w:r>
        <w:rPr>
          <w:sz w:val="21"/>
          <w:szCs w:val="21"/>
        </w:rPr>
        <w:t xml:space="preserve">Audit coverage: 100% of BLUEPRINT items reviewed in red-team checklist; zero unaddressed Critical blockers at Execution entry.</w:t>
      </w:r>
    </w:p>
    <w:p>
      <w:pPr>
        <w:pStyle w:val="ListParagraph"/>
        <w:numPr>
          <w:ilvl w:val="0"/>
          <w:numId w:val="2"/>
        </w:numPr>
        <w:spacing w:after="80"/>
      </w:pPr>
      <w:r>
        <w:rPr>
          <w:sz w:val="21"/>
          <w:szCs w:val="21"/>
        </w:rPr>
        <w:t xml:space="preserve">Documentation completeness: Every design decision traceable from BLUEPRINT through AUDIT_LOG to final implementation.</w:t>
      </w:r>
    </w:p>
    <w:p>
      <w:pPr>
        <w:pStyle w:val="Heading2"/>
      </w:pPr>
      <w:r>
        <w:t xml:space="preserve">10.2 Qualitative Goals</w:t>
      </w:r>
    </w:p>
    <w:p>
      <w:pPr>
        <w:pStyle w:val="ListParagraph"/>
        <w:numPr>
          <w:ilvl w:val="0"/>
          <w:numId w:val="2"/>
        </w:numPr>
        <w:spacing w:after="60"/>
      </w:pPr>
      <w:r>
        <w:rPr>
          <w:sz w:val="21"/>
          <w:szCs w:val="21"/>
        </w:rPr>
        <w:t xml:space="preserve">Full auditability: Every blocker, design decision, and code change is version-controlled and traceable.</w:t>
      </w:r>
    </w:p>
    <w:p>
      <w:pPr>
        <w:pStyle w:val="ListParagraph"/>
        <w:numPr>
          <w:ilvl w:val="0"/>
          <w:numId w:val="2"/>
        </w:numPr>
        <w:spacing w:after="60"/>
      </w:pPr>
      <w:r>
        <w:rPr>
          <w:sz w:val="21"/>
          <w:szCs w:val="21"/>
        </w:rPr>
        <w:t xml:space="preserve">Protocol reusability: Same protocol applied to multiple projects without structural modification.</w:t>
      </w:r>
    </w:p>
    <w:p>
      <w:pPr>
        <w:pStyle w:val="ListParagraph"/>
        <w:numPr>
          <w:ilvl w:val="0"/>
          <w:numId w:val="2"/>
        </w:numPr>
        <w:spacing w:after="60"/>
      </w:pPr>
      <w:r>
        <w:rPr>
          <w:sz w:val="21"/>
          <w:szCs w:val="21"/>
        </w:rPr>
        <w:t xml:space="preserve">Model substitutability: Protocol design allows swapping underlying models as newer versions become available without changing the workflow.</w:t>
      </w:r>
    </w:p>
    <w:p>
      <w:pPr>
        <w:pStyle w:val="ListParagraph"/>
        <w:numPr>
          <w:ilvl w:val="0"/>
          <w:numId w:val="2"/>
        </w:numPr>
        <w:spacing w:after="80"/>
      </w:pPr>
      <w:r>
        <w:rPr>
          <w:sz w:val="21"/>
          <w:szCs w:val="21"/>
        </w:rPr>
        <w:t xml:space="preserve">Security-first culture: Red-team review becomes an inherent part of every feature cycle, not an afterthought.</w:t>
      </w:r>
    </w:p>
    <w:p>
      <w:pPr>
        <w:pStyle w:val="Heading1"/>
      </w:pPr>
      <w:r>
        <w:t xml:space="preserve">11. Conclusion</w:t>
      </w:r>
    </w:p>
    <w:p>
      <w:pPr>
        <w:spacing w:after="120"/>
      </w:pPr>
      <w:r>
        <w:rPr>
          <w:sz w:val="21"/>
          <w:szCs w:val="21"/>
        </w:rPr>
        <w:t xml:space="preserve">The TITLE Protocol v3.0 AI represents a principled approach to multi-agent software development that goes beyond simply using AI for code generation. By establishing a dialectical workflow with explicit role separation, adversarial review, and deterministic state management, the protocol transforms two frontier AI models into a structured development team with built-in quality assurance.</w:t>
      </w:r>
    </w:p>
    <w:p>
      <w:pPr>
        <w:spacing w:after="120"/>
      </w:pPr>
      <w:r>
        <w:rPr>
          <w:sz w:val="21"/>
          <w:szCs w:val="21"/>
        </w:rPr>
        <w:t xml:space="preserve">The timing is optimal. Industry standards (MCP, A2A) are reaching maturity, multi-agent frameworks are production-ready, and empirical evidence consistently demonstrates that role-specialized multi-agent systems outperform monolithic approaches. The protocol’s stateless, artifact-driven design ensures resilience against model API changes, subscription transitions, and the rapid pace of LLM evolution.</w:t>
      </w:r>
    </w:p>
    <w:p>
      <w:pPr>
        <w:spacing w:after="120"/>
      </w:pPr>
      <w:r>
        <w:rPr>
          <w:sz w:val="21"/>
          <w:szCs w:val="21"/>
        </w:rPr>
        <w:t xml:space="preserve">We recommend immediate initiation of Phase I (Foundation) to establish the infrastructure, followed by a pilot project that will validate the protocol’s effectiveness and generate the metrics needed to guide subsequent scaling decisions.</w:t>
      </w:r>
    </w:p>
    <w:p>
      <w:r>
        <w:br w:type="page"/>
      </w:r>
    </w:p>
    <w:p>
      <w:pPr>
        <w:pStyle w:val="Heading1"/>
      </w:pPr>
      <w:r>
        <w:t xml:space="preserve">Appendix A: Reference Sources</w:t>
      </w:r>
    </w:p>
    <w:p>
      <w:pPr>
        <w:pStyle w:val="Heading3"/>
      </w:pPr>
      <w:r>
        <w:t xml:space="preserve">Multi-Agent Architecture &amp; Protocols</w:t>
      </w:r>
    </w:p>
    <w:p>
      <w:pPr>
        <w:pStyle w:val="ListParagraph"/>
        <w:numPr>
          <w:ilvl w:val="0"/>
          <w:numId w:val="2"/>
        </w:numPr>
        <w:spacing w:after="50"/>
      </w:pPr>
      <w:r>
        <w:rPr>
          <w:color w:val="666666"/>
          <w:sz w:val="19"/>
          <w:szCs w:val="19"/>
        </w:rPr>
        <w:t xml:space="preserve">Context Engineering for Multi-Agent LLM Code Assistants – Planner/Executor separation analysis</w:t>
      </w:r>
    </w:p>
    <w:p>
      <w:pPr>
        <w:pStyle w:val="ListParagraph"/>
        <w:numPr>
          <w:ilvl w:val="0"/>
          <w:numId w:val="2"/>
        </w:numPr>
        <w:spacing w:after="50"/>
      </w:pPr>
      <w:r>
        <w:rPr>
          <w:color w:val="666666"/>
          <w:sz w:val="19"/>
          <w:szCs w:val="19"/>
        </w:rPr>
        <w:t xml:space="preserve">When to use multi-agent systems (Anthropic Blog) – Agent responsibility partitioning strategies</w:t>
      </w:r>
    </w:p>
    <w:p>
      <w:pPr>
        <w:pStyle w:val="ListParagraph"/>
        <w:numPr>
          <w:ilvl w:val="0"/>
          <w:numId w:val="2"/>
        </w:numPr>
        <w:spacing w:after="50"/>
      </w:pPr>
      <w:r>
        <w:rPr>
          <w:color w:val="666666"/>
          <w:sz w:val="19"/>
          <w:szCs w:val="19"/>
        </w:rPr>
        <w:t xml:space="preserve">MCP (Model Context Protocol) – Anthropic/Linux Foundation, agent-tool standardization</w:t>
      </w:r>
    </w:p>
    <w:p>
      <w:pPr>
        <w:pStyle w:val="ListParagraph"/>
        <w:numPr>
          <w:ilvl w:val="0"/>
          <w:numId w:val="2"/>
        </w:numPr>
        <w:spacing w:after="50"/>
      </w:pPr>
      <w:r>
        <w:rPr>
          <w:color w:val="666666"/>
          <w:sz w:val="19"/>
          <w:szCs w:val="19"/>
        </w:rPr>
        <w:t xml:space="preserve">A2A (Agent-to-Agent Protocol) – Google Cloud/Linux Foundation, inter-agent communication</w:t>
      </w:r>
    </w:p>
    <w:p>
      <w:pPr>
        <w:pStyle w:val="Heading3"/>
      </w:pPr>
      <w:r>
        <w:t xml:space="preserve">Model Performance &amp; Comparison</w:t>
      </w:r>
    </w:p>
    <w:p>
      <w:pPr>
        <w:pStyle w:val="ListParagraph"/>
        <w:numPr>
          <w:ilvl w:val="0"/>
          <w:numId w:val="2"/>
        </w:numPr>
        <w:spacing w:after="50"/>
      </w:pPr>
      <w:r>
        <w:rPr>
          <w:color w:val="666666"/>
          <w:sz w:val="19"/>
          <w:szCs w:val="19"/>
        </w:rPr>
        <w:t xml:space="preserve">GPT-5.3-Codex System Card (OpenAI) – Coding, tool use, vulnerability detection capabilities</w:t>
      </w:r>
    </w:p>
    <w:p>
      <w:pPr>
        <w:pStyle w:val="ListParagraph"/>
        <w:numPr>
          <w:ilvl w:val="0"/>
          <w:numId w:val="2"/>
        </w:numPr>
        <w:spacing w:after="50"/>
      </w:pPr>
      <w:r>
        <w:rPr>
          <w:color w:val="666666"/>
          <w:sz w:val="19"/>
          <w:szCs w:val="19"/>
        </w:rPr>
        <w:t xml:space="preserve">Claude Opus 4.5 / Claude Code documentation – Architectural reasoning, sub-agent system, context handling</w:t>
      </w:r>
    </w:p>
    <w:p>
      <w:pPr>
        <w:pStyle w:val="ListParagraph"/>
        <w:numPr>
          <w:ilvl w:val="0"/>
          <w:numId w:val="2"/>
        </w:numPr>
        <w:spacing w:after="50"/>
      </w:pPr>
      <w:r>
        <w:rPr>
          <w:color w:val="666666"/>
          <w:sz w:val="19"/>
          <w:szCs w:val="19"/>
        </w:rPr>
        <w:t xml:space="preserve">GitHub Agent HQ (2026) – Multi-agent task routing: Claude for architecture, Codex for prototyping</w:t>
      </w:r>
    </w:p>
    <w:p>
      <w:pPr>
        <w:pStyle w:val="Heading3"/>
      </w:pPr>
      <w:r>
        <w:t xml:space="preserve">Language &amp; Tokenization Research</w:t>
      </w:r>
    </w:p>
    <w:p>
      <w:pPr>
        <w:pStyle w:val="ListParagraph"/>
        <w:numPr>
          <w:ilvl w:val="0"/>
          <w:numId w:val="2"/>
        </w:numPr>
        <w:spacing w:after="50"/>
      </w:pPr>
      <w:r>
        <w:rPr>
          <w:color w:val="666666"/>
          <w:sz w:val="19"/>
          <w:szCs w:val="19"/>
        </w:rPr>
        <w:t xml:space="preserve">How does a Language-Specific Tokenizer affect LLMs? (arXiv) – English tokenizer efficiency analysis</w:t>
      </w:r>
    </w:p>
    <w:p>
      <w:pPr>
        <w:pStyle w:val="ListParagraph"/>
        <w:numPr>
          <w:ilvl w:val="0"/>
          <w:numId w:val="2"/>
        </w:numPr>
        <w:spacing w:after="50"/>
      </w:pPr>
      <w:r>
        <w:rPr>
          <w:color w:val="666666"/>
          <w:sz w:val="19"/>
          <w:szCs w:val="19"/>
        </w:rPr>
        <w:t xml:space="preserve">Multilingual capabilities of GPT (PLOS ONE) – Cross-language structural ambiguity evaluation</w:t>
      </w:r>
    </w:p>
    <w:p>
      <w:pPr>
        <w:pStyle w:val="ListParagraph"/>
        <w:numPr>
          <w:ilvl w:val="0"/>
          <w:numId w:val="2"/>
        </w:numPr>
        <w:spacing w:after="50"/>
      </w:pPr>
      <w:r>
        <w:rPr>
          <w:color w:val="666666"/>
          <w:sz w:val="19"/>
          <w:szCs w:val="19"/>
        </w:rPr>
        <w:t xml:space="preserve">Navigating Korean LLM Research (Hugging Face) – Korean-specific model tokenization and performance</w:t>
      </w:r>
    </w:p>
    <w:p>
      <w:pPr>
        <w:pStyle w:val="Heading3"/>
      </w:pPr>
      <w:r>
        <w:t xml:space="preserve">Security &amp; Red-Team Methodology</w:t>
      </w:r>
    </w:p>
    <w:p>
      <w:pPr>
        <w:pStyle w:val="ListParagraph"/>
        <w:numPr>
          <w:ilvl w:val="0"/>
          <w:numId w:val="2"/>
        </w:numPr>
        <w:spacing w:after="50"/>
      </w:pPr>
      <w:r>
        <w:rPr>
          <w:color w:val="666666"/>
          <w:sz w:val="19"/>
          <w:szCs w:val="19"/>
        </w:rPr>
        <w:t xml:space="preserve">AI Red Teaming checklists – Threat modeling, PoC, vulnerability management frameworks</w:t>
      </w:r>
    </w:p>
    <w:p>
      <w:pPr>
        <w:pStyle w:val="ListParagraph"/>
        <w:numPr>
          <w:ilvl w:val="0"/>
          <w:numId w:val="2"/>
        </w:numPr>
        <w:spacing w:after="50"/>
      </w:pPr>
      <w:r>
        <w:rPr>
          <w:color w:val="666666"/>
          <w:sz w:val="19"/>
          <w:szCs w:val="19"/>
        </w:rPr>
        <w:t xml:space="preserve">Architecting Resilient LLM Agents – Plan-Act-Observe loops with privilege separation</w:t>
      </w:r>
    </w:p>
    <w:p>
      <w:pPr>
        <w:pStyle w:val="Heading3"/>
      </w:pPr>
      <w:r>
        <w:t xml:space="preserve">Industry Reports &amp; Market Data</w:t>
      </w:r>
    </w:p>
    <w:p>
      <w:pPr>
        <w:pStyle w:val="ListParagraph"/>
        <w:numPr>
          <w:ilvl w:val="0"/>
          <w:numId w:val="2"/>
        </w:numPr>
        <w:spacing w:after="50"/>
      </w:pPr>
      <w:r>
        <w:rPr>
          <w:color w:val="666666"/>
          <w:sz w:val="19"/>
          <w:szCs w:val="19"/>
        </w:rPr>
        <w:t xml:space="preserve">Gartner 2025 – 40% enterprise AI agent adoption projected by end of 2026</w:t>
      </w:r>
    </w:p>
    <w:p>
      <w:pPr>
        <w:pStyle w:val="ListParagraph"/>
        <w:numPr>
          <w:ilvl w:val="0"/>
          <w:numId w:val="2"/>
        </w:numPr>
        <w:spacing w:after="50"/>
      </w:pPr>
      <w:r>
        <w:rPr>
          <w:color w:val="666666"/>
          <w:sz w:val="19"/>
          <w:szCs w:val="19"/>
        </w:rPr>
        <w:t xml:space="preserve">McKinsey 2025 AI State Report – 3x ROI for multi-agent vs. single-agent implementations</w:t>
      </w:r>
    </w:p>
    <w:p>
      <w:pPr>
        <w:pStyle w:val="ListParagraph"/>
        <w:numPr>
          <w:ilvl w:val="0"/>
          <w:numId w:val="2"/>
        </w:numPr>
        <w:spacing w:after="50"/>
      </w:pPr>
      <w:r>
        <w:rPr>
          <w:color w:val="666666"/>
          <w:sz w:val="19"/>
          <w:szCs w:val="19"/>
        </w:rPr>
        <w:t xml:space="preserve">Stack Overflow Developer Survey 2025 – AI code quality perception metrics</w:t>
      </w:r>
    </w:p>
    <w:p>
      <w:pPr>
        <w:pStyle w:val="ListParagraph"/>
        <w:numPr>
          <w:ilvl w:val="0"/>
          <w:numId w:val="2"/>
        </w:numPr>
        <w:spacing w:after="50"/>
      </w:pPr>
      <w:r>
        <w:rPr>
          <w:color w:val="666666"/>
          <w:sz w:val="19"/>
          <w:szCs w:val="19"/>
        </w:rPr>
        <w:t xml:space="preserve">JetBrains State of Developer Ecosystem 2025 – 85% AI coding tool adoption rate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6"/>
        <w:szCs w:val="16"/>
      </w:rPr>
      <w:t xml:space="preserve">TITLE Protocol v3.0 AI – Project Proposal</w:t>
    </w:r>
    <w:r>
      <w:rPr>
        <w:rFonts w:ascii="Arial" w:cs="Arial" w:eastAsia="Arial" w:hAnsi="Arial"/>
        <w:i/>
        <w:iCs/>
        <w:color w:val="666666"/>
        <w:sz w:val="16"/>
        <w:szCs w:val="16"/>
      </w:rPr>
      <w:t xml:space="preserve">	REV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2026-02-14T12:50:08.319Z</dcterms:created>
  <dcterms:modified xsi:type="dcterms:W3CDTF">2026-02-14T12:50:08.320Z</dcterms:modified>
</cp:coreProperties>
</file>

<file path=docProps/custom.xml><?xml version="1.0" encoding="utf-8"?>
<Properties xmlns="http://schemas.openxmlformats.org/officeDocument/2006/custom-properties" xmlns:vt="http://schemas.openxmlformats.org/officeDocument/2006/docPropsVTypes"/>
</file>