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NanumSquare" w:hAnsi="NanumSquare" w:eastAsia="NanumSquare"/>
          <w:b/>
          <w:color w:val="008A95"/>
          <w:sz w:val="18"/>
        </w:rPr>
        <w:t>Confidential / Development Version</w:t>
      </w:r>
    </w:p>
    <w:p>
      <w:pPr>
        <w:spacing w:before="360" w:after="80"/>
      </w:pPr>
      <w:r>
        <w:rPr>
          <w:rFonts w:ascii="NanumSquare" w:hAnsi="NanumSquare" w:eastAsia="NanumSquare"/>
          <w:b/>
          <w:color w:val="0B2A5B"/>
          <w:sz w:val="48"/>
        </w:rPr>
        <w:t>글로벌 하이브리드 AI RA Specialist 구축 사업계획서</w:t>
      </w:r>
    </w:p>
    <w:p>
      <w:r>
        <w:rPr>
          <w:rFonts w:ascii="NanumSquare" w:hAnsi="NanumSquare" w:eastAsia="NanumSquare"/>
          <w:b/>
          <w:color w:val="008A95"/>
          <w:sz w:val="26"/>
        </w:rPr>
        <w:t>Business Plan v3.0 / 완성도 85% 이상 개발용 완전버전</w:t>
      </w:r>
    </w:p>
    <w:p>
      <w:pPr>
        <w:spacing w:before="160" w:after="160"/>
      </w:pPr>
      <w:r>
        <w:rPr>
          <w:rFonts w:ascii="NanumBarunGothic" w:hAnsi="NanumBarunGothic" w:eastAsia="NanumBarunGothic"/>
          <w:b/>
          <w:color w:val="1F2937"/>
          <w:sz w:val="21"/>
        </w:rPr>
        <w:t>대상 도메인: X-ray · 디텍터 · 촬영실 SW/PACS/Medical AI · 피부미용 초음파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5061"/>
            <w:shd w:fill="EAF3FF"/>
            <w:vAlign w:val="center"/>
          </w:tcPr>
          <w:p>
            <w:r/>
            <w:r>
              <w:rPr>
                <w:rFonts w:ascii="NanumBarunGothic" w:hAnsi="NanumBarunGothic"/>
                <w:b/>
                <w:color w:val="0B2A5B"/>
                <w:sz w:val="18"/>
                <w:rFonts w:ascii="NanumBarunGothic" w:hAnsi="NanumBarunGothic" w:eastAsia="NanumBarunGothic"/>
              </w:rPr>
              <w:t>문서 버전</w:t>
            </w:r>
          </w:p>
        </w:tc>
        <w:tc>
          <w:tcPr>
            <w:tcW w:type="dxa" w:w="506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8"/>
                <w:rFonts w:ascii="NanumBarunGothic" w:hAnsi="NanumBarunGothic" w:eastAsia="NanumBarunGothic"/>
              </w:rPr>
              <w:t>v3.0</w:t>
            </w:r>
          </w:p>
        </w:tc>
      </w:tr>
      <w:tr>
        <w:tc>
          <w:tcPr>
            <w:tcW w:type="dxa" w:w="5061"/>
            <w:shd w:fill="EAF3FF"/>
            <w:vAlign w:val="center"/>
          </w:tcPr>
          <w:p>
            <w:r/>
            <w:r>
              <w:rPr>
                <w:rFonts w:ascii="NanumBarunGothic" w:hAnsi="NanumBarunGothic"/>
                <w:b/>
                <w:color w:val="0B2A5B"/>
                <w:sz w:val="18"/>
                <w:rFonts w:ascii="NanumBarunGothic" w:hAnsi="NanumBarunGothic" w:eastAsia="NanumBarunGothic"/>
              </w:rPr>
              <w:t>작성 기준일</w:t>
            </w:r>
          </w:p>
        </w:tc>
        <w:tc>
          <w:tcPr>
            <w:tcW w:type="dxa" w:w="506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8"/>
                <w:rFonts w:ascii="NanumBarunGothic" w:hAnsi="NanumBarunGothic" w:eastAsia="NanumBarunGothic"/>
              </w:rPr>
              <w:t>2026-06-02</w:t>
            </w:r>
          </w:p>
        </w:tc>
      </w:tr>
      <w:tr>
        <w:tc>
          <w:tcPr>
            <w:tcW w:type="dxa" w:w="5061"/>
            <w:shd w:fill="EAF3FF"/>
            <w:vAlign w:val="center"/>
          </w:tcPr>
          <w:p>
            <w:r/>
            <w:r>
              <w:rPr>
                <w:rFonts w:ascii="NanumBarunGothic" w:hAnsi="NanumBarunGothic"/>
                <w:b/>
                <w:color w:val="0B2A5B"/>
                <w:sz w:val="18"/>
                <w:rFonts w:ascii="NanumBarunGothic" w:hAnsi="NanumBarunGothic" w:eastAsia="NanumBarunGothic"/>
              </w:rPr>
              <w:t>목적</w:t>
            </w:r>
          </w:p>
        </w:tc>
        <w:tc>
          <w:tcPr>
            <w:tcW w:type="dxa" w:w="506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8"/>
                <w:rFonts w:ascii="NanumBarunGothic" w:hAnsi="NanumBarunGothic" w:eastAsia="NanumBarunGothic"/>
              </w:rPr>
              <w:t>사업화 검토와 MVP/상용화 개발을 동시에 지원하기 위한 실구축 중심 명세</w:t>
            </w:r>
          </w:p>
        </w:tc>
      </w:tr>
      <w:tr>
        <w:tc>
          <w:tcPr>
            <w:tcW w:type="dxa" w:w="5061"/>
            <w:shd w:fill="EAF3FF"/>
            <w:vAlign w:val="center"/>
          </w:tcPr>
          <w:p>
            <w:r/>
            <w:r>
              <w:rPr>
                <w:rFonts w:ascii="NanumBarunGothic" w:hAnsi="NanumBarunGothic"/>
                <w:b/>
                <w:color w:val="0B2A5B"/>
                <w:sz w:val="18"/>
                <w:rFonts w:ascii="NanumBarunGothic" w:hAnsi="NanumBarunGothic" w:eastAsia="NanumBarunGothic"/>
              </w:rPr>
              <w:t>전제</w:t>
            </w:r>
          </w:p>
        </w:tc>
        <w:tc>
          <w:tcPr>
            <w:tcW w:type="dxa" w:w="506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8"/>
                <w:rFonts w:ascii="NanumBarunGothic" w:hAnsi="NanumBarunGothic" w:eastAsia="NanumBarunGothic"/>
              </w:rPr>
              <w:t>AI 출력은 RA/QA 전문가 검토를 보조하며, 최종 규제 판단과 제출 책임은 제조사 책임자에게 있음</w:t>
            </w:r>
          </w:p>
        </w:tc>
      </w:tr>
      <w:tr>
        <w:tc>
          <w:tcPr>
            <w:tcW w:type="dxa" w:w="5061"/>
            <w:shd w:fill="EAF3FF"/>
            <w:vAlign w:val="center"/>
          </w:tcPr>
          <w:p>
            <w:r/>
            <w:r>
              <w:rPr>
                <w:rFonts w:ascii="NanumBarunGothic" w:hAnsi="NanumBarunGothic"/>
                <w:b/>
                <w:color w:val="0B2A5B"/>
                <w:sz w:val="18"/>
                <w:rFonts w:ascii="NanumBarunGothic" w:hAnsi="NanumBarunGothic" w:eastAsia="NanumBarunGothic"/>
              </w:rPr>
              <w:t>보안 원칙</w:t>
            </w:r>
          </w:p>
        </w:tc>
        <w:tc>
          <w:tcPr>
            <w:tcW w:type="dxa" w:w="506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8"/>
                <w:rFonts w:ascii="NanumBarunGothic" w:hAnsi="NanumBarunGothic" w:eastAsia="NanumBarunGothic"/>
              </w:rPr>
              <w:t>고객사 민감 문서는 로컬에서만 처리하고, 클라우드는 공개 규제 지식 및 메타데이터 중심으로 운용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0F9FF"/>
          </w:tcPr>
          <w:p>
            <w:r>
              <w:rPr>
                <w:rFonts w:ascii="NanumSquare" w:hAnsi="NanumSquare" w:eastAsia="NanumSquare"/>
                <w:b/>
                <w:color w:val="0B2A5B"/>
                <w:sz w:val="21"/>
              </w:rPr>
              <w:t>이 문서의 사용 범위</w:t>
            </w:r>
          </w:p>
          <w:p>
            <w:pPr>
              <w:pStyle w:val="ListBullet"/>
              <w:spacing w:after="20"/>
            </w:pPr>
            <w:r>
              <w:rPr>
                <w:rFonts w:ascii="NanumBarunGothic" w:hAnsi="NanumBarunGothic" w:eastAsia="NanumBarunGothic"/>
                <w:color w:val="1F2937"/>
                <w:sz w:val="19"/>
              </w:rPr>
              <w:t>내부 사업성 검토, 파트너/고객 제안, MVP 개발 백로그 산정, 클라우드/로컬 구축 범위 합의에 사용한다.</w:t>
            </w:r>
          </w:p>
          <w:p>
            <w:pPr>
              <w:pStyle w:val="ListBullet"/>
              <w:spacing w:after="20"/>
            </w:pPr>
            <w:r>
              <w:rPr>
                <w:rFonts w:ascii="NanumBarunGothic" w:hAnsi="NanumBarunGothic" w:eastAsia="NanumBarunGothic"/>
                <w:color w:val="1F2937"/>
                <w:sz w:val="19"/>
              </w:rPr>
              <w:t>문서 내 수치 목표는 초기 제품군과 표준 스키마 도입 고객을 전제로 한 개발 목표이며, 실제 성능은 파일 품질·문서 구조·로컬 하드웨어에 따라 달라진다.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NanumSquare" w:hAnsi="NanumSquare" w:eastAsia="NanumSquare"/>
          <w:b/>
          <w:color w:val="0B2A5B"/>
          <w:sz w:val="32"/>
        </w:rPr>
        <w:t>요약 시각화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87876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글로벌_하이브리드_ai_ra_사업계획서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787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40" w:after="80"/>
      </w:pPr>
      <w:r>
        <w:rPr>
          <w:rFonts w:ascii="NanumSquare" w:hAnsi="NanumSquare" w:eastAsia="NanumSquare"/>
          <w:b/>
          <w:color w:val="0B2A5B"/>
          <w:sz w:val="32"/>
        </w:rPr>
        <w:t>1. Executive Summary</w:t>
      </w:r>
    </w:p>
    <w:p>
      <w:pPr>
        <w:spacing w:before="0" w:after="80"/>
      </w:pPr>
      <w:r>
        <w:rPr>
          <w:rFonts w:ascii="NanumBarunGothic" w:hAnsi="NanumBarunGothic" w:eastAsia="NanumBarunGothic"/>
          <w:b w:val="0"/>
          <w:color w:val="1F2937"/>
          <w:sz w:val="21"/>
        </w:rPr>
        <w:t>본 사업은 의료기기 제조사의 핵심 기술 자료를 퍼블릭 클라우드로 올리지 않으면서, FDA·MFDS·EU MDR 등 공개 규제 지식을 클라우드에서 수집·정규화하고 고객사 내부망에서 문서 정합성 검토와 RAG 기반 초안 생성을 수행하는 하이브리드 AI RA 플랫폼이다.</w:t>
      </w:r>
    </w:p>
    <w:p>
      <w:pPr>
        <w:pStyle w:val="ListBullet"/>
        <w:spacing w:after="60"/>
        <w:ind w:left="72"/>
      </w:pPr>
      <w:r>
        <w:rPr>
          <w:rFonts w:ascii="NanumBarunGothic" w:hAnsi="NanumBarunGothic" w:eastAsia="NanumBarunGothic"/>
          <w:color w:val="1F2937"/>
          <w:sz w:val="20"/>
        </w:rPr>
        <w:t>핵심 고객: X-ray/디텍터/촬영실 SW/피부미용 초음파를 개발하는 스타트업 및 중견 의료기기 제조사.</w:t>
      </w:r>
    </w:p>
    <w:p>
      <w:pPr>
        <w:pStyle w:val="ListBullet"/>
        <w:spacing w:after="60"/>
        <w:ind w:left="72"/>
      </w:pPr>
      <w:r>
        <w:rPr>
          <w:rFonts w:ascii="NanumBarunGothic" w:hAnsi="NanumBarunGothic" w:eastAsia="NanumBarunGothic"/>
          <w:color w:val="1F2937"/>
          <w:sz w:val="20"/>
        </w:rPr>
        <w:t>핵심 문제: 개발 완료 후 문서 소급 작성, IFU/SRS/위험관리/시험성적서 간 불일치, 퍼블릭 SaaS 보안 우려, 국가별 규제 변경 추적 부담.</w:t>
      </w:r>
    </w:p>
    <w:p>
      <w:pPr>
        <w:pStyle w:val="ListBullet"/>
        <w:spacing w:after="60"/>
        <w:ind w:left="72"/>
      </w:pPr>
      <w:r>
        <w:rPr>
          <w:rFonts w:ascii="NanumBarunGothic" w:hAnsi="NanumBarunGothic" w:eastAsia="NanumBarunGothic"/>
          <w:color w:val="1F2937"/>
          <w:sz w:val="20"/>
        </w:rPr>
        <w:t>핵심 해법: 클라우드 규제 지식팩 + 로컬 Docker 에이전트 + 표준 Unified Schema + 추적성 그래프 + 검토 워크스페이스.</w:t>
      </w:r>
    </w:p>
    <w:p>
      <w:pPr>
        <w:pStyle w:val="ListBullet"/>
        <w:spacing w:after="60"/>
        <w:ind w:left="72"/>
      </w:pPr>
      <w:r>
        <w:rPr>
          <w:rFonts w:ascii="NanumBarunGothic" w:hAnsi="NanumBarunGothic" w:eastAsia="NanumBarunGothic"/>
          <w:color w:val="1F2937"/>
          <w:sz w:val="20"/>
        </w:rPr>
        <w:t>사업 포지셔닝: 일회성 컨설팅 대행이 아니라, 표준 스키마와 셀프서비스 운영을 강제하는 구독/라이선스형 규제 운영 플랫폼.</w:t>
      </w:r>
    </w:p>
    <w:p>
      <w:pPr>
        <w:pStyle w:val="ListBullet"/>
        <w:spacing w:after="60"/>
        <w:ind w:left="72"/>
      </w:pPr>
      <w:r>
        <w:rPr>
          <w:rFonts w:ascii="NanumBarunGothic" w:hAnsi="NanumBarunGothic" w:eastAsia="NanumBarunGothic"/>
          <w:color w:val="1F2937"/>
          <w:sz w:val="20"/>
        </w:rPr>
        <w:t>초기 현실성 전략: 전 품목 범용 엔진이 아니라, 규제 난도가 높고 문서 구조가 반복되는 초기 품목군에 집중한다.</w:t>
      </w:r>
    </w:p>
    <w:p>
      <w:pPr>
        <w:spacing w:before="240" w:after="80"/>
      </w:pPr>
      <w:r>
        <w:rPr>
          <w:rFonts w:ascii="NanumSquare" w:hAnsi="NanumSquare" w:eastAsia="NanumSquare"/>
          <w:b/>
          <w:color w:val="0B2A5B"/>
          <w:sz w:val="32"/>
        </w:rPr>
        <w:t>2. 팩트 기반 현실성 판단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팩트</w:t>
            </w:r>
          </w:p>
        </w:tc>
        <w:tc>
          <w:tcPr>
            <w:tcW w:type="dxa" w:w="3374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사업 설계 반영</w:t>
            </w:r>
          </w:p>
        </w:tc>
        <w:tc>
          <w:tcPr>
            <w:tcW w:type="dxa" w:w="3374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현실성 판단</w:t>
            </w:r>
          </w:p>
        </w:tc>
      </w:tr>
      <w:tr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FDA CDRH는 미국 내 의료기기와 X-ray·초음파 등 방사선 발생 전자제품을 규제한다.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X-ray, 디텍터, 초음파를 초기 타깃으로 삼고 FDA 지식팩을 1차 구축한다.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타깃 도메인 적합성이 높음</w:t>
            </w:r>
          </w:p>
        </w:tc>
      </w:tr>
      <w:tr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FDA 사이버보안 가이던스는 사이버보안 설계, 라벨링, 사전시장 제출 문서에 포함할 정보를 권고한다.</w:t>
            </w:r>
          </w:p>
        </w:tc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촬영실 SW/PACS/Medical AI 문서에서 보안 요구사항과 증적 추적성을 기능 범위에 포함한다.</w:t>
            </w:r>
          </w:p>
        </w:tc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문서화 자동화 수요가 존재</w:t>
            </w:r>
          </w:p>
        </w:tc>
      </w:tr>
      <w:tr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EU MDR 2017/745는 의료기기 규제 체계의 핵심 법령이며, EUDAMED는 MDR/IVDR 구현을 위한 EU IT 시스템이다.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EU MDR 지식팩, 문서 근거 링크, 버전 관리를 요구사항에 포함한다.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글로벌 지식팩 필요성 명확</w:t>
            </w:r>
          </w:p>
        </w:tc>
      </w:tr>
      <w:tr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MFDS는 의료기기법/시행규칙/허가·심사 규정 등 국내 자료를 운영하며, 영어 번역은 참고용이고 한국어 원문이 공식 기준이다.</w:t>
            </w:r>
          </w:p>
        </w:tc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한국어 원문 수집·버전 관리와 고객 검토 화면의 근거 링크 제공이 필요하다.</w:t>
            </w:r>
          </w:p>
        </w:tc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국내 고객 수용성에 중요</w:t>
            </w:r>
          </w:p>
        </w:tc>
      </w:tr>
      <w:tr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S3 Glacier Deep Archive는 장기 보관에 저비용이나 실시간 조회가 불가하고 복원 시간이 필요하다.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원본 공개 규제 자료는 아카이브, 검색 인덱스와 메타데이터는 별도 핫 스토리지에 유지한다.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비용 절감 가능하나 운영 설계 필요</w:t>
            </w:r>
          </w:p>
        </w:tc>
      </w:tr>
      <w:tr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pgvector는 PostgreSQL 내 벡터 검색을 지원하므로 규제 지식 검색과 메타데이터 조인이 가능하다.</w:t>
            </w:r>
          </w:p>
        </w:tc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중앙 지식 DB에 문서 청크, 버전, 제품군 태그, 임베딩을 함께 관리한다.</w:t>
            </w:r>
          </w:p>
        </w:tc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초기 구현 난이도 수용 가능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FF7ED"/>
          </w:tcPr>
          <w:p>
            <w:r>
              <w:rPr>
                <w:rFonts w:ascii="NanumSquare" w:hAnsi="NanumSquare" w:eastAsia="NanumSquare"/>
                <w:b/>
                <w:color w:val="0B2A5B"/>
                <w:sz w:val="21"/>
              </w:rPr>
              <w:t>현실성 결론</w:t>
            </w:r>
          </w:p>
          <w:p>
            <w:pPr>
              <w:pStyle w:val="ListBullet"/>
              <w:spacing w:after="20"/>
            </w:pPr>
            <w:r>
              <w:rPr>
                <w:rFonts w:ascii="NanumBarunGothic" w:hAnsi="NanumBarunGothic" w:eastAsia="NanumBarunGothic"/>
                <w:color w:val="1F2937"/>
                <w:sz w:val="19"/>
              </w:rPr>
              <w:t>기술적으로는 구현 가능하나, “완전 자동 인허가”가 아니라 “근거 기반 문서 정리·검토 보조”로 포지셔닝해야 한다.</w:t>
            </w:r>
          </w:p>
          <w:p>
            <w:pPr>
              <w:pStyle w:val="ListBullet"/>
              <w:spacing w:after="20"/>
            </w:pPr>
            <w:r>
              <w:rPr>
                <w:rFonts w:ascii="NanumBarunGothic" w:hAnsi="NanumBarunGothic" w:eastAsia="NanumBarunGothic"/>
                <w:color w:val="1F2937"/>
                <w:sz w:val="19"/>
              </w:rPr>
              <w:t>월 $5 이하 인프라 비용은 초기 개발/저부하 아카이브·알림 제어판에 한정된다. 운영 규모가 커지면 PostgreSQL, 크롤링, 임베딩, 모니터링 비용이 별도 발생한다.</w:t>
            </w:r>
          </w:p>
          <w:p>
            <w:pPr>
              <w:pStyle w:val="ListBullet"/>
              <w:spacing w:after="20"/>
            </w:pPr>
            <w:r>
              <w:rPr>
                <w:rFonts w:ascii="NanumBarunGothic" w:hAnsi="NanumBarunGothic" w:eastAsia="NanumBarunGothic"/>
                <w:color w:val="1F2937"/>
                <w:sz w:val="19"/>
              </w:rPr>
              <w:t>85% 파싱 정확도는 표준 스키마, 문서 품질, 제한된 품목군, 수동 보정 UI를 전제로 한 목표값이다.</w:t>
            </w:r>
          </w:p>
        </w:tc>
      </w:tr>
    </w:tbl>
    <w:p>
      <w:pPr>
        <w:spacing w:before="240" w:after="80"/>
      </w:pPr>
      <w:r>
        <w:rPr>
          <w:rFonts w:ascii="NanumSquare" w:hAnsi="NanumSquare" w:eastAsia="NanumSquare"/>
          <w:b/>
          <w:color w:val="0B2A5B"/>
          <w:sz w:val="32"/>
        </w:rPr>
        <w:t>3. 시장 문제와 고객 가치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7"/>
                <w:rFonts w:ascii="NanumBarunGothic" w:hAnsi="NanumBarunGothic" w:eastAsia="NanumBarunGothic"/>
              </w:rPr>
              <w:t>현장 문제</w:t>
            </w:r>
          </w:p>
        </w:tc>
        <w:tc>
          <w:tcPr>
            <w:tcW w:type="dxa" w:w="3374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7"/>
                <w:rFonts w:ascii="NanumBarunGothic" w:hAnsi="NanumBarunGothic" w:eastAsia="NanumBarunGothic"/>
              </w:rPr>
              <w:t>고객 손실</w:t>
            </w:r>
          </w:p>
        </w:tc>
        <w:tc>
          <w:tcPr>
            <w:tcW w:type="dxa" w:w="3374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7"/>
                <w:rFonts w:ascii="NanumBarunGothic" w:hAnsi="NanumBarunGothic" w:eastAsia="NanumBarunGothic"/>
              </w:rPr>
              <w:t>제품 가치</w:t>
            </w:r>
          </w:p>
        </w:tc>
      </w:tr>
      <w:tr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개발 후반 문서 소급 작성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일정 지연, 설계 변경 재작업, 검토 비용 증가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개발 중 문서 증적을 표준 스키마로 누적</w:t>
            </w:r>
          </w:p>
        </w:tc>
      </w:tr>
      <w:tr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문서 간 수치·용어 불일치</w:t>
            </w:r>
          </w:p>
        </w:tc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보완 요청, 제출 반려, RA/QA 야근 증가</w:t>
            </w:r>
          </w:p>
        </w:tc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추적성 그래프와 가드레일로 제출 전 오류 탐지</w:t>
            </w:r>
          </w:p>
        </w:tc>
      </w:tr>
      <w:tr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클라우드 업로드 보안 우려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SaaS 도입 거부, 수동 검토 지속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민감 문서는 로컬 처리, 클라우드는 공개 지식팩만 공급</w:t>
            </w:r>
          </w:p>
        </w:tc>
      </w:tr>
      <w:tr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규제 변경 추적 수동화</w:t>
            </w:r>
          </w:p>
        </w:tc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중요 변경 누락, 대응 지연</w:t>
            </w:r>
          </w:p>
        </w:tc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변경 알림, 제품군 매핑, 영향도 검토 큐 생성</w:t>
            </w:r>
          </w:p>
        </w:tc>
      </w:tr>
      <w:tr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초기 품질시스템 부재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스타트업 인허가 준비 체계 미흡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셀프서비스 온보딩과 표준 템플릿 제공</w:t>
            </w:r>
          </w:p>
        </w:tc>
      </w:tr>
    </w:tbl>
    <w:p>
      <w:pPr>
        <w:spacing w:before="240" w:after="80"/>
      </w:pPr>
      <w:r>
        <w:rPr>
          <w:rFonts w:ascii="NanumSquare" w:hAnsi="NanumSquare" w:eastAsia="NanumSquare"/>
          <w:b/>
          <w:color w:val="0B2A5B"/>
          <w:sz w:val="32"/>
        </w:rPr>
        <w:t>4. 제품/서비스 정의</w:t>
      </w:r>
    </w:p>
    <w:p>
      <w:pPr>
        <w:spacing w:before="200" w:after="60"/>
      </w:pPr>
      <w:r>
        <w:rPr>
          <w:rFonts w:ascii="NanumSquare" w:hAnsi="NanumSquare" w:eastAsia="NanumSquare"/>
          <w:b/>
          <w:color w:val="0B63CE"/>
          <w:sz w:val="26"/>
        </w:rPr>
        <w:t>4.1 제공 모듈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7"/>
                <w:rFonts w:ascii="NanumBarunGothic" w:hAnsi="NanumBarunGothic" w:eastAsia="NanumBarunGothic"/>
              </w:rPr>
              <w:t>모듈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7"/>
                <w:rFonts w:ascii="NanumBarunGothic" w:hAnsi="NanumBarunGothic" w:eastAsia="NanumBarunGothic"/>
              </w:rPr>
              <w:t>배치 위치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7"/>
                <w:rFonts w:ascii="NanumBarunGothic" w:hAnsi="NanumBarunGothic" w:eastAsia="NanumBarunGothic"/>
              </w:rPr>
              <w:t>기능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7"/>
                <w:rFonts w:ascii="NanumBarunGothic" w:hAnsi="NanumBarunGothic" w:eastAsia="NanumBarunGothic"/>
              </w:rPr>
              <w:t>초기 구현 범위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Regulatory Knowledge Cloud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공급자 클라우드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공개 규제 자료 수집, 정규화, 버전 관리, 지식팩 생성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FDA/MFDS/EU MDR 우선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Secure Sync Layer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클라우드 ↔ 고객사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증분 ID, 메타데이터, 서명된 지식팩 동기화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Outbound HTTPS 기반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Customer Local Runtime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고객사 내부망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문서 업로드, 파싱, 로컬 RAG, 추적성 검사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Docker 패키지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Review Workspace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고객사 내부망 웹 UI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검토 큐, 수동 보정, 승인, 감사로그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RA/QA/관리자 역할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Impact Analyzer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로컬 중심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규제 변경과 제품군/문서 필드 영향 매핑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근거 링크 포함 리포트</w:t>
            </w:r>
          </w:p>
        </w:tc>
      </w:tr>
    </w:tbl>
    <w:p>
      <w:pPr>
        <w:spacing w:before="200" w:after="60"/>
      </w:pPr>
      <w:r>
        <w:rPr>
          <w:rFonts w:ascii="NanumSquare" w:hAnsi="NanumSquare" w:eastAsia="NanumSquare"/>
          <w:b/>
          <w:color w:val="0B63CE"/>
          <w:sz w:val="26"/>
        </w:rPr>
        <w:t>4.2 핵심 차별점</w:t>
      </w:r>
    </w:p>
    <w:p>
      <w:pPr>
        <w:pStyle w:val="ListBullet"/>
        <w:spacing w:after="60"/>
        <w:ind w:left="72"/>
      </w:pPr>
      <w:r>
        <w:rPr>
          <w:rFonts w:ascii="NanumBarunGothic" w:hAnsi="NanumBarunGothic" w:eastAsia="NanumBarunGothic"/>
          <w:color w:val="1F2937"/>
          <w:sz w:val="20"/>
        </w:rPr>
        <w:t>데이터 주권: 설계치, 원본 기술문서, 소스코드, 임상 원자료는 외부 전송 대상에서 제외한다.</w:t>
      </w:r>
    </w:p>
    <w:p>
      <w:pPr>
        <w:pStyle w:val="ListBullet"/>
        <w:spacing w:after="60"/>
        <w:ind w:left="72"/>
      </w:pPr>
      <w:r>
        <w:rPr>
          <w:rFonts w:ascii="NanumBarunGothic" w:hAnsi="NanumBarunGothic" w:eastAsia="NanumBarunGothic"/>
          <w:color w:val="1F2937"/>
          <w:sz w:val="20"/>
        </w:rPr>
        <w:t>표준화: 고객 양식 무제한 커스터마이징을 지양하고 Unified Schema로 정규화한다.</w:t>
      </w:r>
    </w:p>
    <w:p>
      <w:pPr>
        <w:pStyle w:val="ListBullet"/>
        <w:spacing w:after="60"/>
        <w:ind w:left="72"/>
      </w:pPr>
      <w:r>
        <w:rPr>
          <w:rFonts w:ascii="NanumBarunGothic" w:hAnsi="NanumBarunGothic" w:eastAsia="NanumBarunGothic"/>
          <w:color w:val="1F2937"/>
          <w:sz w:val="20"/>
        </w:rPr>
        <w:t>추적성: 위험관리 통제수단, 소프트웨어 요구사항, IFU 경고문, 시험증적 간 연결을 그래프로 관리한다.</w:t>
      </w:r>
    </w:p>
    <w:p>
      <w:pPr>
        <w:pStyle w:val="ListBullet"/>
        <w:spacing w:after="60"/>
        <w:ind w:left="72"/>
      </w:pPr>
      <w:r>
        <w:rPr>
          <w:rFonts w:ascii="NanumBarunGothic" w:hAnsi="NanumBarunGothic" w:eastAsia="NanumBarunGothic"/>
          <w:color w:val="1F2937"/>
          <w:sz w:val="20"/>
        </w:rPr>
        <w:t>반복 수익: 컨설팅 산출물이 아니라 클라우드 지식팩/로컬 에이전트 라이선스로 운영한다.</w:t>
      </w:r>
    </w:p>
    <w:p>
      <w:pPr>
        <w:spacing w:before="240" w:after="80"/>
      </w:pPr>
      <w:r>
        <w:rPr>
          <w:rFonts w:ascii="NanumSquare" w:hAnsi="NanumSquare" w:eastAsia="NanumSquare"/>
          <w:b/>
          <w:color w:val="0B2A5B"/>
          <w:sz w:val="32"/>
        </w:rPr>
        <w:t>5. 타깃 세그먼트와 초기 품목군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7"/>
                <w:rFonts w:ascii="NanumBarunGothic" w:hAnsi="NanumBarunGothic" w:eastAsia="NanumBarunGothic"/>
              </w:rPr>
              <w:t>세그먼트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7"/>
                <w:rFonts w:ascii="NanumBarunGothic" w:hAnsi="NanumBarunGothic" w:eastAsia="NanumBarunGothic"/>
              </w:rPr>
              <w:t>구매 동기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7"/>
                <w:rFonts w:ascii="NanumBarunGothic" w:hAnsi="NanumBarunGothic" w:eastAsia="NanumBarunGothic"/>
              </w:rPr>
              <w:t>우선 제안 메시지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7"/>
                <w:rFonts w:ascii="NanumBarunGothic" w:hAnsi="NanumBarunGothic" w:eastAsia="NanumBarunGothic"/>
              </w:rPr>
              <w:t>판매 난이도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의료기기 스타트업 CTO/대표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개발 초기 문서 체계 부재, 인허가 일정 압박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개발 중 증적 생성과 제출 전 오류 차단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중간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RA/QA 실무자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IFU/SRS/RMS/시험서 간 수동 대조 부담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반복 검증 업무 자동화와 근거 링크 확보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낮음~중간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중견 의료기기 기업 품질책임자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내부망 보안 정책, 감사 추적성 요구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로컬 배포, 감사로그, 관리자 통제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중간~높음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컨설팅/시험기관 파트너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반복 문서 검토 효율화, 고객 온보딩 도구 필요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표준 패키지 기반 서비스 효율화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중간</w:t>
            </w:r>
          </w:p>
        </w:tc>
      </w:tr>
    </w:tbl>
    <w:p>
      <w:pPr>
        <w:pStyle w:val="ListBullet"/>
        <w:spacing w:after="60"/>
        <w:ind w:left="72"/>
      </w:pPr>
      <w:r>
        <w:rPr>
          <w:rFonts w:ascii="NanumBarunGothic" w:hAnsi="NanumBarunGothic" w:eastAsia="NanumBarunGothic"/>
          <w:color w:val="1F2937"/>
          <w:sz w:val="20"/>
        </w:rPr>
        <w:t>1차 품목군: X-ray 시스템, 디지털 디텍터, 촬영실 SW/PACS, 피부미용 초음파.</w:t>
      </w:r>
    </w:p>
    <w:p>
      <w:pPr>
        <w:pStyle w:val="ListBullet"/>
        <w:spacing w:after="60"/>
        <w:ind w:left="72"/>
      </w:pPr>
      <w:r>
        <w:rPr>
          <w:rFonts w:ascii="NanumBarunGothic" w:hAnsi="NanumBarunGothic" w:eastAsia="NanumBarunGothic"/>
          <w:color w:val="1F2937"/>
          <w:sz w:val="20"/>
        </w:rPr>
        <w:t>선정 이유: 하드웨어·소프트웨어·전기안전·사용적합성·라벨링·위험관리 문서가 결합되어 추적성 자동화 효과가 크다.</w:t>
      </w:r>
    </w:p>
    <w:p>
      <w:pPr>
        <w:pStyle w:val="ListBullet"/>
        <w:spacing w:after="60"/>
        <w:ind w:left="72"/>
      </w:pPr>
      <w:r>
        <w:rPr>
          <w:rFonts w:ascii="NanumBarunGothic" w:hAnsi="NanumBarunGothic" w:eastAsia="NanumBarunGothic"/>
          <w:color w:val="1F2937"/>
          <w:sz w:val="20"/>
        </w:rPr>
        <w:t>제외: IVD 전 품목, 치과용 전 품목, 임상시험 데이터 원자료 분석, 해외 제출 대행 서비스.</w:t>
      </w:r>
    </w:p>
    <w:p>
      <w:pPr>
        <w:spacing w:before="240" w:after="80"/>
      </w:pPr>
      <w:r>
        <w:rPr>
          <w:rFonts w:ascii="NanumSquare" w:hAnsi="NanumSquare" w:eastAsia="NanumSquare"/>
          <w:b/>
          <w:color w:val="0B2A5B"/>
          <w:sz w:val="32"/>
        </w:rPr>
        <w:t>6. 수익 모델과 가격 정책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c>
          <w:tcPr>
            <w:tcW w:type="dxa" w:w="2025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플랜</w:t>
            </w:r>
          </w:p>
        </w:tc>
        <w:tc>
          <w:tcPr>
            <w:tcW w:type="dxa" w:w="2025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가격</w:t>
            </w:r>
          </w:p>
        </w:tc>
        <w:tc>
          <w:tcPr>
            <w:tcW w:type="dxa" w:w="2025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대상</w:t>
            </w:r>
          </w:p>
        </w:tc>
        <w:tc>
          <w:tcPr>
            <w:tcW w:type="dxa" w:w="2025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구성</w:t>
            </w:r>
          </w:p>
        </w:tc>
        <w:tc>
          <w:tcPr>
            <w:tcW w:type="dxa" w:w="2025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수익/운영 가정</w:t>
            </w:r>
          </w:p>
        </w:tc>
      </w:tr>
      <w:tr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Core SaaS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월 $299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스타트업/초기팀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규제 변경 알림, 기본 지식팩, 표준 스키마 템플릿, 제한된 문서 검토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낮은 CAC, 셀프 온보딩 중심</w:t>
            </w:r>
          </w:p>
        </w:tc>
      </w:tr>
      <w:tr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Advanced Hybrid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연 $12,000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중견/내부망 기업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로컬 Docker 에이전트, 정합성 가드레일, 관리자 대시보드, 감사로그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고객당 지원비 관리 필요</w:t>
            </w:r>
          </w:p>
        </w:tc>
      </w:tr>
      <w:tr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Setup &amp; Enablement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별도 견적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초기 배포 고객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환경 점검, 로컬 설치, 초기 문서 스키마 정리, 교육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반복 판매보다 초기 도입 장벽 해소용</w:t>
            </w:r>
          </w:p>
        </w:tc>
      </w:tr>
      <w:tr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Regulatory Pack Add-on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제품군/국가별 과금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확장 고객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추가 품목군·국가별 규제 지식팩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제품군 확장 후 업셀링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0FDF4"/>
          </w:tcPr>
          <w:p>
            <w:r>
              <w:rPr>
                <w:rFonts w:ascii="NanumSquare" w:hAnsi="NanumSquare" w:eastAsia="NanumSquare"/>
                <w:b/>
                <w:color w:val="0B2A5B"/>
                <w:sz w:val="21"/>
              </w:rPr>
              <w:t>가격 현실성</w:t>
            </w:r>
          </w:p>
          <w:p>
            <w:pPr>
              <w:pStyle w:val="ListBullet"/>
              <w:spacing w:after="20"/>
            </w:pPr>
            <w:r>
              <w:rPr>
                <w:rFonts w:ascii="NanumBarunGothic" w:hAnsi="NanumBarunGothic" w:eastAsia="NanumBarunGothic"/>
                <w:color w:val="1F2937"/>
                <w:sz w:val="19"/>
              </w:rPr>
              <w:t>월 $299 플랜은 실제 문서 대행이 아니라 셀프서비스 지식팩/템플릿/알림 중심이어야 손익이 맞는다.</w:t>
            </w:r>
          </w:p>
          <w:p>
            <w:pPr>
              <w:pStyle w:val="ListBullet"/>
              <w:spacing w:after="20"/>
            </w:pPr>
            <w:r>
              <w:rPr>
                <w:rFonts w:ascii="NanumBarunGothic" w:hAnsi="NanumBarunGothic" w:eastAsia="NanumBarunGothic"/>
                <w:color w:val="1F2937"/>
                <w:sz w:val="19"/>
              </w:rPr>
              <w:t>연 $12,000 플랜은 로컬 배포와 정합성 검사를 포함하되, 고객별 양식 커스터마이징을 제한해야 한다.</w:t>
            </w:r>
          </w:p>
          <w:p>
            <w:pPr>
              <w:pStyle w:val="ListBullet"/>
              <w:spacing w:after="20"/>
            </w:pPr>
            <w:r>
              <w:rPr>
                <w:rFonts w:ascii="NanumBarunGothic" w:hAnsi="NanumBarunGothic" w:eastAsia="NanumBarunGothic"/>
                <w:color w:val="1F2937"/>
                <w:sz w:val="19"/>
              </w:rPr>
              <w:t>초기 PoC에서는 셋업 비용을 별도 산정하여 무상 컨설팅으로 변질되는 것을 방지한다.</w:t>
            </w:r>
          </w:p>
        </w:tc>
      </w:tr>
    </w:tbl>
    <w:p>
      <w:pPr>
        <w:spacing w:before="240" w:after="80"/>
      </w:pPr>
      <w:r>
        <w:rPr>
          <w:rFonts w:ascii="NanumSquare" w:hAnsi="NanumSquare" w:eastAsia="NanumSquare"/>
          <w:b/>
          <w:color w:val="0B2A5B"/>
          <w:sz w:val="32"/>
        </w:rPr>
        <w:t>7. Go-To-Market 및 실행 로드맵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c>
          <w:tcPr>
            <w:tcW w:type="dxa" w:w="2025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단계</w:t>
            </w:r>
          </w:p>
        </w:tc>
        <w:tc>
          <w:tcPr>
            <w:tcW w:type="dxa" w:w="2025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기간 가정</w:t>
            </w:r>
          </w:p>
        </w:tc>
        <w:tc>
          <w:tcPr>
            <w:tcW w:type="dxa" w:w="2025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목표</w:t>
            </w:r>
          </w:p>
        </w:tc>
        <w:tc>
          <w:tcPr>
            <w:tcW w:type="dxa" w:w="2025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핵심 산출물</w:t>
            </w:r>
          </w:p>
        </w:tc>
        <w:tc>
          <w:tcPr>
            <w:tcW w:type="dxa" w:w="2025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성공 기준</w:t>
            </w:r>
          </w:p>
        </w:tc>
      </w:tr>
      <w:tr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Phase 1 Infra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0~8주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클라우드 지식 수집/저장/동기화 PoC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크롤러, 원문 저장소, 지식팩 버전, 웹훅 알림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3개 기관 소스 자동 수집 및 변경 감지</w:t>
            </w:r>
          </w:p>
        </w:tc>
      </w:tr>
      <w:tr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Phase 2 Logic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8~16주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초기 품목군 스키마와 파서 튜닝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Unified Schema v0.9, DOCX/XLSX 파서, 수동 보정 UI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핵심 필드 85%+ 목표 검증</w:t>
            </w:r>
          </w:p>
        </w:tc>
      </w:tr>
      <w:tr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Phase 3 Product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16~28주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로컬 런타임/검토 워크스페이스 제품화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Docker 패키지, Review UI, Traceability Graph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파일럿 고객 2~3곳 현장 검증</w:t>
            </w:r>
          </w:p>
        </w:tc>
      </w:tr>
      <w:tr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Phase 4 Scale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28주~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품목/국가/파트너 확장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Add-on 지식팩, 파트너 운영 메뉴얼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유료 전환 및 재사용률 확보</w:t>
            </w:r>
          </w:p>
        </w:tc>
      </w:tr>
    </w:tbl>
    <w:p>
      <w:pPr>
        <w:spacing w:before="240" w:after="80"/>
      </w:pPr>
      <w:r>
        <w:rPr>
          <w:rFonts w:ascii="NanumSquare" w:hAnsi="NanumSquare" w:eastAsia="NanumSquare"/>
          <w:b/>
          <w:color w:val="0B2A5B"/>
          <w:sz w:val="32"/>
        </w:rPr>
        <w:t>8. 재무 가정과 손익분기점</w:t>
      </w:r>
    </w:p>
    <w:p>
      <w:pPr>
        <w:spacing w:before="0" w:after="80"/>
      </w:pPr>
      <w:r>
        <w:rPr>
          <w:rFonts w:ascii="NanumBarunGothic" w:hAnsi="NanumBarunGothic" w:eastAsia="NanumBarunGothic"/>
          <w:b w:val="0"/>
          <w:color w:val="1F2937"/>
          <w:sz w:val="20"/>
        </w:rPr>
        <w:t>초기 재무 가정은 인프라 비용보다 “인건비, 고객 온보딩, 품목별 지식팩 유지보수”가 비용의 대부분을 차지한다는 관점으로 잡아야 한다. S3 Glacier만 보면 TB당 약 $1 수준의 장기 보관이 가능하나, 실제 운영에서는 DB, 로그, 크롤링, 임베딩, 모니터링 비용이 발생한다.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7"/>
                <w:rFonts w:ascii="NanumBarunGothic" w:hAnsi="NanumBarunGothic" w:eastAsia="NanumBarunGothic"/>
              </w:rPr>
              <w:t>항목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7"/>
                <w:rFonts w:ascii="NanumBarunGothic" w:hAnsi="NanumBarunGothic" w:eastAsia="NanumBarunGothic"/>
              </w:rPr>
              <w:t>보수적 가정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7"/>
                <w:rFonts w:ascii="NanumBarunGothic" w:hAnsi="NanumBarunGothic" w:eastAsia="NanumBarunGothic"/>
              </w:rPr>
              <w:t>낙관적 가정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7"/>
                <w:rFonts w:ascii="NanumBarunGothic" w:hAnsi="NanumBarunGothic" w:eastAsia="NanumBarunGothic"/>
              </w:rPr>
              <w:t>관리 포인트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고정 클라우드 비용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개발/저부하 월 $20~150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아카이브/알림 중심 월 $5~30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RDS/임베딩 사용량 분리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초기 개발 인력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2~4명 핵심팀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외부 RA 자문 병행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품목군 제한으로 범위 통제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BEP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Tier2 5~8개 또는 Tier1 80~120개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Tier2 3개 또는 Tier1 30~50개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지원 공수와 셋업 비용 분리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Gross Margin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지원 많은 초기 50~65%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셀프서비스 성숙 후 75%+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Zero-customization 강제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FF7ED"/>
          </w:tcPr>
          <w:p>
            <w:r>
              <w:rPr>
                <w:rFonts w:ascii="NanumSquare" w:hAnsi="NanumSquare" w:eastAsia="NanumSquare"/>
                <w:b/>
                <w:color w:val="0B2A5B"/>
                <w:sz w:val="21"/>
              </w:rPr>
              <w:t>BEP 해석</w:t>
            </w:r>
          </w:p>
          <w:p>
            <w:pPr>
              <w:pStyle w:val="ListBullet"/>
              <w:spacing w:after="20"/>
            </w:pPr>
            <w:r>
              <w:rPr>
                <w:rFonts w:ascii="NanumBarunGothic" w:hAnsi="NanumBarunGothic" w:eastAsia="NanumBarunGothic"/>
                <w:color w:val="1F2937"/>
                <w:sz w:val="19"/>
              </w:rPr>
              <w:t>기존 문서의 “Tier1 30개 또는 Tier2 3개”는 매우 슬림한 운영과 낮은 인건비를 전제한 낙관 시나리오로 표시한다.</w:t>
            </w:r>
          </w:p>
          <w:p>
            <w:pPr>
              <w:pStyle w:val="ListBullet"/>
              <w:spacing w:after="20"/>
            </w:pPr>
            <w:r>
              <w:rPr>
                <w:rFonts w:ascii="NanumBarunGothic" w:hAnsi="NanumBarunGothic" w:eastAsia="NanumBarunGothic"/>
                <w:color w:val="1F2937"/>
                <w:sz w:val="19"/>
              </w:rPr>
              <w:t>투자/제안서에는 보수/기준/낙관 3개 시나리오로 제시하는 것이 현실적이다.</w:t>
            </w:r>
          </w:p>
        </w:tc>
      </w:tr>
    </w:tbl>
    <w:p>
      <w:pPr>
        <w:spacing w:before="240" w:after="80"/>
      </w:pPr>
      <w:r>
        <w:rPr>
          <w:rFonts w:ascii="NanumSquare" w:hAnsi="NanumSquare" w:eastAsia="NanumSquare"/>
          <w:b/>
          <w:color w:val="0B2A5B"/>
          <w:sz w:val="32"/>
        </w:rPr>
        <w:t>9. 리스크와 대응 전략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리스크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영향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대응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소유자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규제 원문 구조 변화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크롤러 오류, 변경 누락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소스별 파서 버전관리, 실패 알림, 수동 검수 큐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Cloud Lead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고객 문서 편차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파싱 정확도 저하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표준 스키마 강제, 수동 보정 UI, 샘플 문서 기반 튜닝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Product/RA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AI 환각/부정확 답변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신뢰도 저하, 법적 리스크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근거 링크 필수, confidence 표시, 승인 워크플로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AI Lead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로컬 배포 복잡성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도입 지연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Docker compose, 체크리스트, 헬스체크, 오프라인 설치 가이드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DevOps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컨설팅화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마진 악화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고객별 양식 대행 금지, 셋업 별도 과금, 제품군 템플릿 재사용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CEO/Product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규제 책임 오해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고객 클레임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면책/역할 명시, RA 전문가 검토 단계 필수화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Legal/QA</w:t>
            </w:r>
          </w:p>
        </w:tc>
      </w:tr>
    </w:tbl>
    <w:p>
      <w:pPr>
        <w:spacing w:before="240" w:after="80"/>
      </w:pPr>
      <w:r>
        <w:rPr>
          <w:rFonts w:ascii="NanumSquare" w:hAnsi="NanumSquare" w:eastAsia="NanumSquare"/>
          <w:b/>
          <w:color w:val="0B2A5B"/>
          <w:sz w:val="32"/>
        </w:rPr>
        <w:t>10. 의사결정 권고</w:t>
      </w:r>
    </w:p>
    <w:p>
      <w:pPr>
        <w:pStyle w:val="ListBullet"/>
        <w:spacing w:after="60"/>
        <w:ind w:left="72"/>
      </w:pPr>
      <w:r>
        <w:rPr>
          <w:rFonts w:ascii="NanumBarunGothic" w:hAnsi="NanumBarunGothic" w:eastAsia="NanumBarunGothic"/>
          <w:color w:val="1F2937"/>
          <w:sz w:val="20"/>
        </w:rPr>
        <w:t>MVP는 “지식팩 수집/동기화 + 로컬 문서 정규화 + 정합성 가드레일 + 검토 대시보드”까지로 제한한다.</w:t>
      </w:r>
    </w:p>
    <w:p>
      <w:pPr>
        <w:pStyle w:val="ListBullet"/>
        <w:spacing w:after="60"/>
        <w:ind w:left="72"/>
      </w:pPr>
      <w:r>
        <w:rPr>
          <w:rFonts w:ascii="NanumBarunGothic" w:hAnsi="NanumBarunGothic" w:eastAsia="NanumBarunGothic"/>
          <w:color w:val="1F2937"/>
          <w:sz w:val="20"/>
        </w:rPr>
        <w:t>첫 파일럿은 문서 체계가 아예 없는 고객보다, 최소한 IFU/SRS/위험관리 문서를 보유하고 개선 의지가 있는 고객을 선택한다.</w:t>
      </w:r>
    </w:p>
    <w:p>
      <w:pPr>
        <w:pStyle w:val="ListBullet"/>
        <w:spacing w:after="60"/>
        <w:ind w:left="72"/>
      </w:pPr>
      <w:r>
        <w:rPr>
          <w:rFonts w:ascii="NanumBarunGothic" w:hAnsi="NanumBarunGothic" w:eastAsia="NanumBarunGothic"/>
          <w:color w:val="1F2937"/>
          <w:sz w:val="20"/>
        </w:rPr>
        <w:t>규제 대행/컨설팅을 매출로 끌어오더라도 제품 내재화 가능한 패턴만 채택한다.</w:t>
      </w:r>
    </w:p>
    <w:p>
      <w:pPr>
        <w:pStyle w:val="ListBullet"/>
        <w:spacing w:after="60"/>
        <w:ind w:left="72"/>
      </w:pPr>
      <w:r>
        <w:rPr>
          <w:rFonts w:ascii="NanumBarunGothic" w:hAnsi="NanumBarunGothic" w:eastAsia="NanumBarunGothic"/>
          <w:color w:val="1F2937"/>
          <w:sz w:val="20"/>
        </w:rPr>
        <w:t>데이터 보안과 근거 추적성을 판매 메시지의 1순위로 둔다.</w:t>
      </w:r>
    </w:p>
    <w:p>
      <w:pPr>
        <w:spacing w:before="240" w:after="80"/>
      </w:pPr>
      <w:r>
        <w:rPr>
          <w:rFonts w:ascii="NanumSquare" w:hAnsi="NanumSquare" w:eastAsia="NanumSquare"/>
          <w:b/>
          <w:color w:val="0B2A5B"/>
          <w:sz w:val="32"/>
        </w:rPr>
        <w:t>참고 근거 및 출처</w:t>
      </w:r>
    </w:p>
    <w:p>
      <w:pPr>
        <w:spacing w:before="0" w:after="80"/>
      </w:pPr>
      <w:r>
        <w:rPr>
          <w:rFonts w:ascii="NanumBarunGothic" w:hAnsi="NanumBarunGothic" w:eastAsia="NanumBarunGothic"/>
          <w:b w:val="0"/>
          <w:color w:val="1F2937"/>
          <w:sz w:val="19"/>
        </w:rPr>
        <w:t>아래 출처는 본 문서의 규제·인프라 현실성 판단에 사용한 공식/1차 자료입니다. 실제 제출 문서 작성 시에는 해당 기관의 최신 원문과 국내 공식 번역본/고시를 재확인해야 합니다.</w:t>
      </w:r>
    </w:p>
    <w:p>
      <w:pPr>
        <w:spacing w:after="40"/>
      </w:pPr>
      <w:r>
        <w:rPr>
          <w:rFonts w:ascii="NanumBarunGothic" w:hAnsi="NanumBarunGothic" w:eastAsia="NanumBarunGothic"/>
          <w:b/>
          <w:color w:val="0B2A5B"/>
          <w:sz w:val="17"/>
        </w:rPr>
        <w:t xml:space="preserve">[1] FDA, Overview of Device Regulation: </w:t>
      </w:r>
      <w:r>
        <w:rPr>
          <w:rFonts w:ascii="NanumBarunGothic" w:hAnsi="NanumBarunGothic" w:eastAsia="NanumBarunGothic"/>
          <w:color w:val="2563EB"/>
          <w:sz w:val="16"/>
        </w:rPr>
        <w:t>https://www.fda.gov/medical-devices/device-advice-comprehensive-regulatory-assistance/overview-device-regulation</w:t>
      </w:r>
    </w:p>
    <w:p>
      <w:pPr>
        <w:spacing w:after="40"/>
      </w:pPr>
      <w:r>
        <w:rPr>
          <w:rFonts w:ascii="NanumBarunGothic" w:hAnsi="NanumBarunGothic" w:eastAsia="NanumBarunGothic"/>
          <w:b/>
          <w:color w:val="0B2A5B"/>
          <w:sz w:val="17"/>
        </w:rPr>
        <w:t xml:space="preserve">[2] FDA, Cybersecurity in Medical Devices: Quality Management System Considerations and Content of Premarket Submissions: </w:t>
      </w:r>
      <w:r>
        <w:rPr>
          <w:rFonts w:ascii="NanumBarunGothic" w:hAnsi="NanumBarunGothic" w:eastAsia="NanumBarunGothic"/>
          <w:color w:val="2563EB"/>
          <w:sz w:val="16"/>
        </w:rPr>
        <w:t>https://www.fda.gov/regulatory-information/search-fda-guidance-documents/cybersecurity-medical-devices-quality-management-system-considerations-and-content-premarket</w:t>
      </w:r>
    </w:p>
    <w:p>
      <w:pPr>
        <w:spacing w:after="40"/>
      </w:pPr>
      <w:r>
        <w:rPr>
          <w:rFonts w:ascii="NanumBarunGothic" w:hAnsi="NanumBarunGothic" w:eastAsia="NanumBarunGothic"/>
          <w:b/>
          <w:color w:val="0B2A5B"/>
          <w:sz w:val="17"/>
        </w:rPr>
        <w:t xml:space="preserve">[3] EUR-Lex, Regulation (EU) 2017/745 on medical devices: </w:t>
      </w:r>
      <w:r>
        <w:rPr>
          <w:rFonts w:ascii="NanumBarunGothic" w:hAnsi="NanumBarunGothic" w:eastAsia="NanumBarunGothic"/>
          <w:color w:val="2563EB"/>
          <w:sz w:val="16"/>
        </w:rPr>
        <w:t>https://eur-lex.europa.eu/eli/reg/2017/745/oj/eng</w:t>
      </w:r>
    </w:p>
    <w:p>
      <w:pPr>
        <w:spacing w:after="40"/>
      </w:pPr>
      <w:r>
        <w:rPr>
          <w:rFonts w:ascii="NanumBarunGothic" w:hAnsi="NanumBarunGothic" w:eastAsia="NanumBarunGothic"/>
          <w:b/>
          <w:color w:val="0B2A5B"/>
          <w:sz w:val="17"/>
        </w:rPr>
        <w:t xml:space="preserve">[4] European Commission, Medical Devices Sector / EUDAMED: </w:t>
      </w:r>
      <w:r>
        <w:rPr>
          <w:rFonts w:ascii="NanumBarunGothic" w:hAnsi="NanumBarunGothic" w:eastAsia="NanumBarunGothic"/>
          <w:color w:val="2563EB"/>
          <w:sz w:val="16"/>
        </w:rPr>
        <w:t>https://health.ec.europa.eu/medical-devices-sector_en</w:t>
      </w:r>
    </w:p>
    <w:p>
      <w:pPr>
        <w:spacing w:after="40"/>
      </w:pPr>
      <w:r>
        <w:rPr>
          <w:rFonts w:ascii="NanumBarunGothic" w:hAnsi="NanumBarunGothic" w:eastAsia="NanumBarunGothic"/>
          <w:b/>
          <w:color w:val="0B2A5B"/>
          <w:sz w:val="17"/>
        </w:rPr>
        <w:t xml:space="preserve">[5] MFDS, Medical Device Regulations / Enforcement Rule resources: </w:t>
      </w:r>
      <w:r>
        <w:rPr>
          <w:rFonts w:ascii="NanumBarunGothic" w:hAnsi="NanumBarunGothic" w:eastAsia="NanumBarunGothic"/>
          <w:color w:val="2563EB"/>
          <w:sz w:val="16"/>
        </w:rPr>
        <w:t>https://www.mfds.go.kr/eng/brd/m_40/list.do</w:t>
      </w:r>
    </w:p>
    <w:p>
      <w:pPr>
        <w:spacing w:after="40"/>
      </w:pPr>
      <w:r>
        <w:rPr>
          <w:rFonts w:ascii="NanumBarunGothic" w:hAnsi="NanumBarunGothic" w:eastAsia="NanumBarunGothic"/>
          <w:b/>
          <w:color w:val="0B2A5B"/>
          <w:sz w:val="17"/>
        </w:rPr>
        <w:t xml:space="preserve">[6] AWS, Amazon S3 Glacier storage classes: </w:t>
      </w:r>
      <w:r>
        <w:rPr>
          <w:rFonts w:ascii="NanumBarunGothic" w:hAnsi="NanumBarunGothic" w:eastAsia="NanumBarunGothic"/>
          <w:color w:val="2563EB"/>
          <w:sz w:val="16"/>
        </w:rPr>
        <w:t>https://aws.amazon.com/s3/storage-classes/glacier/</w:t>
      </w:r>
    </w:p>
    <w:p>
      <w:pPr>
        <w:spacing w:after="40"/>
      </w:pPr>
      <w:r>
        <w:rPr>
          <w:rFonts w:ascii="NanumBarunGothic" w:hAnsi="NanumBarunGothic" w:eastAsia="NanumBarunGothic"/>
          <w:b/>
          <w:color w:val="0B2A5B"/>
          <w:sz w:val="17"/>
        </w:rPr>
        <w:t xml:space="preserve">[7] AWS, S3 Lifecycle transition documentation: </w:t>
      </w:r>
      <w:r>
        <w:rPr>
          <w:rFonts w:ascii="NanumBarunGothic" w:hAnsi="NanumBarunGothic" w:eastAsia="NanumBarunGothic"/>
          <w:color w:val="2563EB"/>
          <w:sz w:val="16"/>
        </w:rPr>
        <w:t>https://docs.aws.amazon.com/AmazonS3/latest/userguide/lifecycle-transition-general-considerations.html</w:t>
      </w:r>
    </w:p>
    <w:p>
      <w:pPr>
        <w:spacing w:after="40"/>
      </w:pPr>
      <w:r>
        <w:rPr>
          <w:rFonts w:ascii="NanumBarunGothic" w:hAnsi="NanumBarunGothic" w:eastAsia="NanumBarunGothic"/>
          <w:b/>
          <w:color w:val="0B2A5B"/>
          <w:sz w:val="17"/>
        </w:rPr>
        <w:t xml:space="preserve">[8] AWS, AWS Budgets cost notifications: </w:t>
      </w:r>
      <w:r>
        <w:rPr>
          <w:rFonts w:ascii="NanumBarunGothic" w:hAnsi="NanumBarunGothic" w:eastAsia="NanumBarunGothic"/>
          <w:color w:val="2563EB"/>
          <w:sz w:val="16"/>
        </w:rPr>
        <w:t>https://docs.aws.amazon.com/cost-management/latest/userguide/budgets-managing-costs.html</w:t>
      </w:r>
    </w:p>
    <w:p>
      <w:pPr>
        <w:spacing w:after="40"/>
      </w:pPr>
      <w:r>
        <w:rPr>
          <w:rFonts w:ascii="NanumBarunGothic" w:hAnsi="NanumBarunGothic" w:eastAsia="NanumBarunGothic"/>
          <w:b/>
          <w:color w:val="0B2A5B"/>
          <w:sz w:val="17"/>
        </w:rPr>
        <w:t xml:space="preserve">[9] pgvector, open-source vector similarity search for PostgreSQL: </w:t>
      </w:r>
      <w:r>
        <w:rPr>
          <w:rFonts w:ascii="NanumBarunGothic" w:hAnsi="NanumBarunGothic" w:eastAsia="NanumBarunGothic"/>
          <w:color w:val="2563EB"/>
          <w:sz w:val="16"/>
        </w:rPr>
        <w:t>https://github.com/pgvector/pgvector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BarunGothic" w:hAnsi="NanumBarunGothic" w:eastAsia="NanumBarunGothic"/>
        <w:color w:val="6B7280"/>
        <w:sz w:val="16"/>
      </w:rPr>
      <w:t>Confidential · 2026-06-02 · 실구축 중심 문서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color w:val="6B7280"/>
        <w:sz w:val="16"/>
      </w:rPr>
      <w:t>Global Hybrid AI RA Specialist | Business Plan | v3.0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BarunGothic" w:hAnsi="NanumBarunGothic" w:eastAsia="NanumBarun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