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NanumSquare" w:hAnsi="NanumSquare" w:eastAsia="NanumSquare"/>
          <w:b/>
          <w:color w:val="008A95"/>
          <w:sz w:val="18"/>
        </w:rPr>
        <w:t>Confidential / Development Version</w:t>
      </w:r>
    </w:p>
    <w:p>
      <w:pPr>
        <w:spacing w:before="360" w:after="80"/>
      </w:pPr>
      <w:r>
        <w:rPr>
          <w:rFonts w:ascii="NanumSquare" w:hAnsi="NanumSquare" w:eastAsia="NanumSquare"/>
          <w:b/>
          <w:color w:val="0B2A5B"/>
          <w:sz w:val="48"/>
        </w:rPr>
        <w:t>글로벌 하이브리드 AI RA Specialist 시장 요구사항 명세서</w:t>
      </w:r>
    </w:p>
    <w:p>
      <w:r>
        <w:rPr>
          <w:rFonts w:ascii="NanumSquare" w:hAnsi="NanumSquare" w:eastAsia="NanumSquare"/>
          <w:b/>
          <w:color w:val="008A95"/>
          <w:sz w:val="26"/>
        </w:rPr>
        <w:t>MRD v3.0 / 실구축 중심 완전버전</w:t>
      </w:r>
    </w:p>
    <w:p>
      <w:pPr>
        <w:spacing w:before="160" w:after="160"/>
      </w:pPr>
      <w:r>
        <w:rPr>
          <w:rFonts w:ascii="NanumBarunGothic" w:hAnsi="NanumBarunGothic" w:eastAsia="NanumBarunGothic"/>
          <w:b/>
          <w:color w:val="1F2937"/>
          <w:sz w:val="21"/>
        </w:rPr>
        <w:t>대상 도메인: X-ray · 디텍터 · 촬영실 SW/PACS/Medical AI · 피부미용 초음파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61"/>
        <w:gridCol w:w="5061"/>
      </w:tblGrid>
      <w:tr>
        <w:tc>
          <w:tcPr>
            <w:tcW w:type="dxa" w:w="5061"/>
            <w:shd w:fill="EAF3FF"/>
            <w:vAlign w:val="center"/>
          </w:tcPr>
          <w:p>
            <w:r/>
            <w:r>
              <w:rPr>
                <w:rFonts w:ascii="NanumBarunGothic" w:hAnsi="NanumBarunGothic"/>
                <w:b/>
                <w:color w:val="0B2A5B"/>
                <w:sz w:val="18"/>
                <w:rFonts w:ascii="NanumBarunGothic" w:hAnsi="NanumBarunGothic" w:eastAsia="NanumBarunGothic"/>
              </w:rPr>
              <w:t>문서 버전</w:t>
            </w:r>
          </w:p>
        </w:tc>
        <w:tc>
          <w:tcPr>
            <w:tcW w:type="dxa" w:w="5061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8"/>
                <w:rFonts w:ascii="NanumBarunGothic" w:hAnsi="NanumBarunGothic" w:eastAsia="NanumBarunGothic"/>
              </w:rPr>
              <w:t>v3.0</w:t>
            </w:r>
          </w:p>
        </w:tc>
      </w:tr>
      <w:tr>
        <w:tc>
          <w:tcPr>
            <w:tcW w:type="dxa" w:w="5061"/>
            <w:shd w:fill="EAF3FF"/>
            <w:vAlign w:val="center"/>
          </w:tcPr>
          <w:p>
            <w:r/>
            <w:r>
              <w:rPr>
                <w:rFonts w:ascii="NanumBarunGothic" w:hAnsi="NanumBarunGothic"/>
                <w:b/>
                <w:color w:val="0B2A5B"/>
                <w:sz w:val="18"/>
                <w:rFonts w:ascii="NanumBarunGothic" w:hAnsi="NanumBarunGothic" w:eastAsia="NanumBarunGothic"/>
              </w:rPr>
              <w:t>작성 기준일</w:t>
            </w:r>
          </w:p>
        </w:tc>
        <w:tc>
          <w:tcPr>
            <w:tcW w:type="dxa" w:w="5061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8"/>
                <w:rFonts w:ascii="NanumBarunGothic" w:hAnsi="NanumBarunGothic" w:eastAsia="NanumBarunGothic"/>
              </w:rPr>
              <w:t>2026-06-02</w:t>
            </w:r>
          </w:p>
        </w:tc>
      </w:tr>
      <w:tr>
        <w:tc>
          <w:tcPr>
            <w:tcW w:type="dxa" w:w="5061"/>
            <w:shd w:fill="EAF3FF"/>
            <w:vAlign w:val="center"/>
          </w:tcPr>
          <w:p>
            <w:r/>
            <w:r>
              <w:rPr>
                <w:rFonts w:ascii="NanumBarunGothic" w:hAnsi="NanumBarunGothic"/>
                <w:b/>
                <w:color w:val="0B2A5B"/>
                <w:sz w:val="18"/>
                <w:rFonts w:ascii="NanumBarunGothic" w:hAnsi="NanumBarunGothic" w:eastAsia="NanumBarunGothic"/>
              </w:rPr>
              <w:t>목적</w:t>
            </w:r>
          </w:p>
        </w:tc>
        <w:tc>
          <w:tcPr>
            <w:tcW w:type="dxa" w:w="5061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8"/>
                <w:rFonts w:ascii="NanumBarunGothic" w:hAnsi="NanumBarunGothic" w:eastAsia="NanumBarunGothic"/>
              </w:rPr>
              <w:t>사업화 검토와 MVP/상용화 개발을 동시에 지원하기 위한 실구축 중심 명세</w:t>
            </w:r>
          </w:p>
        </w:tc>
      </w:tr>
      <w:tr>
        <w:tc>
          <w:tcPr>
            <w:tcW w:type="dxa" w:w="5061"/>
            <w:shd w:fill="EAF3FF"/>
            <w:vAlign w:val="center"/>
          </w:tcPr>
          <w:p>
            <w:r/>
            <w:r>
              <w:rPr>
                <w:rFonts w:ascii="NanumBarunGothic" w:hAnsi="NanumBarunGothic"/>
                <w:b/>
                <w:color w:val="0B2A5B"/>
                <w:sz w:val="18"/>
                <w:rFonts w:ascii="NanumBarunGothic" w:hAnsi="NanumBarunGothic" w:eastAsia="NanumBarunGothic"/>
              </w:rPr>
              <w:t>전제</w:t>
            </w:r>
          </w:p>
        </w:tc>
        <w:tc>
          <w:tcPr>
            <w:tcW w:type="dxa" w:w="5061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8"/>
                <w:rFonts w:ascii="NanumBarunGothic" w:hAnsi="NanumBarunGothic" w:eastAsia="NanumBarunGothic"/>
              </w:rPr>
              <w:t>AI 출력은 RA/QA 전문가 검토를 보조하며, 최종 규제 판단과 제출 책임은 제조사 책임자에게 있음</w:t>
            </w:r>
          </w:p>
        </w:tc>
      </w:tr>
      <w:tr>
        <w:tc>
          <w:tcPr>
            <w:tcW w:type="dxa" w:w="5061"/>
            <w:shd w:fill="EAF3FF"/>
            <w:vAlign w:val="center"/>
          </w:tcPr>
          <w:p>
            <w:r/>
            <w:r>
              <w:rPr>
                <w:rFonts w:ascii="NanumBarunGothic" w:hAnsi="NanumBarunGothic"/>
                <w:b/>
                <w:color w:val="0B2A5B"/>
                <w:sz w:val="18"/>
                <w:rFonts w:ascii="NanumBarunGothic" w:hAnsi="NanumBarunGothic" w:eastAsia="NanumBarunGothic"/>
              </w:rPr>
              <w:t>보안 원칙</w:t>
            </w:r>
          </w:p>
        </w:tc>
        <w:tc>
          <w:tcPr>
            <w:tcW w:type="dxa" w:w="5061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8"/>
                <w:rFonts w:ascii="NanumBarunGothic" w:hAnsi="NanumBarunGothic" w:eastAsia="NanumBarunGothic"/>
              </w:rPr>
              <w:t>고객사 민감 문서는 로컬에서만 처리하고, 클라우드는 공개 규제 지식 및 메타데이터 중심으로 운용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23"/>
      </w:tblGrid>
      <w:tr>
        <w:tc>
          <w:tcPr>
            <w:tcW w:type="dxa" w:w="10123"/>
            <w:shd w:fill="F0F9FF"/>
          </w:tcPr>
          <w:p>
            <w:r>
              <w:rPr>
                <w:rFonts w:ascii="NanumSquare" w:hAnsi="NanumSquare" w:eastAsia="NanumSquare"/>
                <w:b/>
                <w:color w:val="0B2A5B"/>
                <w:sz w:val="21"/>
              </w:rPr>
              <w:t>이 문서의 사용 범위</w:t>
            </w:r>
          </w:p>
          <w:p>
            <w:pPr>
              <w:pStyle w:val="ListBullet"/>
              <w:spacing w:after="20"/>
            </w:pPr>
            <w:r>
              <w:rPr>
                <w:rFonts w:ascii="NanumBarunGothic" w:hAnsi="NanumBarunGothic" w:eastAsia="NanumBarunGothic"/>
                <w:color w:val="1F2937"/>
                <w:sz w:val="19"/>
              </w:rPr>
              <w:t>내부 사업성 검토, 파트너/고객 제안, MVP 개발 백로그 산정, 클라우드/로컬 구축 범위 합의에 사용한다.</w:t>
            </w:r>
          </w:p>
          <w:p>
            <w:pPr>
              <w:pStyle w:val="ListBullet"/>
              <w:spacing w:after="20"/>
            </w:pPr>
            <w:r>
              <w:rPr>
                <w:rFonts w:ascii="NanumBarunGothic" w:hAnsi="NanumBarunGothic" w:eastAsia="NanumBarunGothic"/>
                <w:color w:val="1F2937"/>
                <w:sz w:val="19"/>
              </w:rPr>
              <w:t>문서 내 수치 목표는 초기 제품군과 표준 스키마 도입 고객을 전제로 한 개발 목표이며, 실제 성능은 파일 품질·문서 구조·로컬 하드웨어에 따라 달라진다.</w:t>
            </w:r>
          </w:p>
        </w:tc>
      </w:tr>
    </w:tbl>
    <w:p>
      <w:r>
        <w:br w:type="page"/>
      </w:r>
    </w:p>
    <w:p>
      <w:pPr>
        <w:spacing w:before="240" w:after="80"/>
      </w:pPr>
      <w:r>
        <w:rPr>
          <w:rFonts w:ascii="NanumSquare" w:hAnsi="NanumSquare" w:eastAsia="NanumSquare"/>
          <w:b/>
          <w:color w:val="0B2A5B"/>
          <w:sz w:val="32"/>
        </w:rPr>
        <w:t>요약 시각화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878760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글로벌_하이브리드_ai_시장_요구사항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87876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240" w:after="80"/>
      </w:pPr>
      <w:r>
        <w:rPr>
          <w:rFonts w:ascii="NanumSquare" w:hAnsi="NanumSquare" w:eastAsia="NanumSquare"/>
          <w:b/>
          <w:color w:val="0B2A5B"/>
          <w:sz w:val="32"/>
        </w:rPr>
        <w:t>1. MRD 목적과 원칙</w:t>
      </w:r>
    </w:p>
    <w:p>
      <w:pPr>
        <w:pStyle w:val="ListBullet"/>
        <w:spacing w:after="60"/>
        <w:ind w:left="72"/>
      </w:pPr>
      <w:r>
        <w:rPr>
          <w:rFonts w:ascii="NanumBarunGothic" w:hAnsi="NanumBarunGothic" w:eastAsia="NanumBarunGothic"/>
          <w:color w:val="1F2937"/>
          <w:sz w:val="20"/>
        </w:rPr>
        <w:t>고객 문제를 제품 요구사항으로 변환하고, MVP·상용화·확장 범위를 구분한다.</w:t>
      </w:r>
    </w:p>
    <w:p>
      <w:pPr>
        <w:pStyle w:val="ListBullet"/>
        <w:spacing w:after="60"/>
        <w:ind w:left="72"/>
      </w:pPr>
      <w:r>
        <w:rPr>
          <w:rFonts w:ascii="NanumBarunGothic" w:hAnsi="NanumBarunGothic" w:eastAsia="NanumBarunGothic"/>
          <w:color w:val="1F2937"/>
          <w:sz w:val="20"/>
        </w:rPr>
        <w:t>고객별 문서 대행 서비스가 아니라 표준화된 셀프서비스 운영 플랫폼을 만들기 위한 시장 요구만 채택한다.</w:t>
      </w:r>
    </w:p>
    <w:p>
      <w:pPr>
        <w:pStyle w:val="ListBullet"/>
        <w:spacing w:after="60"/>
        <w:ind w:left="72"/>
      </w:pPr>
      <w:r>
        <w:rPr>
          <w:rFonts w:ascii="NanumBarunGothic" w:hAnsi="NanumBarunGothic" w:eastAsia="NanumBarunGothic"/>
          <w:color w:val="1F2937"/>
          <w:sz w:val="20"/>
        </w:rPr>
        <w:t>의료기기 규제 특성상 데이터 주권, 추적성, 검토 가능성, 근거 링크가 모든 요구사항의 상위 전제다.</w:t>
      </w:r>
    </w:p>
    <w:p>
      <w:pPr>
        <w:pStyle w:val="ListBullet"/>
        <w:spacing w:after="60"/>
        <w:ind w:left="72"/>
      </w:pPr>
      <w:r>
        <w:rPr>
          <w:rFonts w:ascii="NanumBarunGothic" w:hAnsi="NanumBarunGothic" w:eastAsia="NanumBarunGothic"/>
          <w:color w:val="1F2937"/>
          <w:sz w:val="20"/>
        </w:rPr>
        <w:t>AI는 규제 전문가의 판단을 대체하지 않고 반복 검토·근거 검색·초안 생성·불일치 탐지를 보조한다.</w:t>
      </w:r>
    </w:p>
    <w:p>
      <w:pPr>
        <w:spacing w:before="240" w:after="80"/>
      </w:pPr>
      <w:r>
        <w:rPr>
          <w:rFonts w:ascii="NanumSquare" w:hAnsi="NanumSquare" w:eastAsia="NanumSquare"/>
          <w:b/>
          <w:color w:val="0B2A5B"/>
          <w:sz w:val="32"/>
        </w:rPr>
        <w:t>2. 시장 배경과 기회</w:t>
      </w:r>
    </w:p>
    <w:p>
      <w:pPr>
        <w:spacing w:before="0" w:after="80"/>
      </w:pPr>
      <w:r>
        <w:rPr>
          <w:rFonts w:ascii="NanumBarunGothic" w:hAnsi="NanumBarunGothic" w:eastAsia="NanumBarunGothic"/>
          <w:b w:val="0"/>
          <w:color w:val="1F2937"/>
          <w:sz w:val="20"/>
        </w:rPr>
        <w:t>의료기기 제조사는 제품 안전성, 성능, 라벨링, 품질시스템, 사이버보안, 위험관리 증적을 지속적으로 관리해야 한다. 미국 FDA는 의료기기와 X-ray/초음파 등 방사선 발생 제품을 규제하며, EU는 MDR 2017/745를 통해 의료기기 시장 진입과 사후관리 요구를 체계화하고 있다. 한국은 MFDS의 의료기기법·시행규칙·허가/심사 규정을 기준으로 운영된다. 이러한 구조는 국가별 공개 규제 지식과 제조사 내부 문서 간 연결성을 요구한다.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c>
          <w:tcPr>
            <w:tcW w:type="dxa" w:w="3374"/>
            <w:shd w:fill="0B63CE"/>
            <w:vAlign w:val="center"/>
          </w:tcPr>
          <w:p>
            <w:pPr>
              <w:jc w:val="center"/>
            </w:pPr>
            <w:r/>
            <w:r>
              <w:rPr>
                <w:rFonts w:ascii="NanumBarunGothic" w:hAnsi="NanumBarunGothic"/>
                <w:b/>
                <w:color w:val="FFFFFF"/>
                <w:sz w:val="17"/>
                <w:rFonts w:ascii="NanumBarunGothic" w:hAnsi="NanumBarunGothic" w:eastAsia="NanumBarunGothic"/>
              </w:rPr>
              <w:t>시장 요구</w:t>
            </w:r>
          </w:p>
        </w:tc>
        <w:tc>
          <w:tcPr>
            <w:tcW w:type="dxa" w:w="3374"/>
            <w:shd w:fill="0B63CE"/>
            <w:vAlign w:val="center"/>
          </w:tcPr>
          <w:p>
            <w:pPr>
              <w:jc w:val="center"/>
            </w:pPr>
            <w:r/>
            <w:r>
              <w:rPr>
                <w:rFonts w:ascii="NanumBarunGothic" w:hAnsi="NanumBarunGothic"/>
                <w:b/>
                <w:color w:val="FFFFFF"/>
                <w:sz w:val="17"/>
                <w:rFonts w:ascii="NanumBarunGothic" w:hAnsi="NanumBarunGothic" w:eastAsia="NanumBarunGothic"/>
              </w:rPr>
              <w:t>근거/배경</w:t>
            </w:r>
          </w:p>
        </w:tc>
        <w:tc>
          <w:tcPr>
            <w:tcW w:type="dxa" w:w="3374"/>
            <w:shd w:fill="0B63CE"/>
            <w:vAlign w:val="center"/>
          </w:tcPr>
          <w:p>
            <w:pPr>
              <w:jc w:val="center"/>
            </w:pPr>
            <w:r/>
            <w:r>
              <w:rPr>
                <w:rFonts w:ascii="NanumBarunGothic" w:hAnsi="NanumBarunGothic"/>
                <w:b/>
                <w:color w:val="FFFFFF"/>
                <w:sz w:val="17"/>
                <w:rFonts w:ascii="NanumBarunGothic" w:hAnsi="NanumBarunGothic" w:eastAsia="NanumBarunGothic"/>
              </w:rPr>
              <w:t>제품 요구로의 전환</w:t>
            </w:r>
          </w:p>
        </w:tc>
      </w:tr>
      <w:tr>
        <w:tc>
          <w:tcPr>
            <w:tcW w:type="dxa" w:w="3374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7"/>
                <w:rFonts w:ascii="NanumBarunGothic" w:hAnsi="NanumBarunGothic" w:eastAsia="NanumBarunGothic"/>
              </w:rPr>
              <w:t>국가별 규제 지식 업데이트 추적</w:t>
            </w:r>
          </w:p>
        </w:tc>
        <w:tc>
          <w:tcPr>
            <w:tcW w:type="dxa" w:w="3374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7"/>
                <w:rFonts w:ascii="NanumBarunGothic" w:hAnsi="NanumBarunGothic" w:eastAsia="NanumBarunGothic"/>
              </w:rPr>
              <w:t>FDA/MFDS/EU MDR 등 공개 문서가 지속적으로 개정</w:t>
            </w:r>
          </w:p>
        </w:tc>
        <w:tc>
          <w:tcPr>
            <w:tcW w:type="dxa" w:w="3374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7"/>
                <w:rFonts w:ascii="NanumBarunGothic" w:hAnsi="NanumBarunGothic" w:eastAsia="NanumBarunGothic"/>
              </w:rPr>
              <w:t>클라우드 지식 수집기, 변경 감지, 지식팩 버전 관리</w:t>
            </w:r>
          </w:p>
        </w:tc>
      </w:tr>
      <w:tr>
        <w:tc>
          <w:tcPr>
            <w:tcW w:type="dxa" w:w="3374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7"/>
                <w:rFonts w:ascii="NanumBarunGothic" w:hAnsi="NanumBarunGothic" w:eastAsia="NanumBarunGothic"/>
              </w:rPr>
              <w:t>내부 문서 보안</w:t>
            </w:r>
          </w:p>
        </w:tc>
        <w:tc>
          <w:tcPr>
            <w:tcW w:type="dxa" w:w="3374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7"/>
                <w:rFonts w:ascii="NanumBarunGothic" w:hAnsi="NanumBarunGothic" w:eastAsia="NanumBarunGothic"/>
              </w:rPr>
              <w:t>기술문서·설계치·임상 원자료는 제조사 핵심 자산</w:t>
            </w:r>
          </w:p>
        </w:tc>
        <w:tc>
          <w:tcPr>
            <w:tcW w:type="dxa" w:w="3374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7"/>
                <w:rFonts w:ascii="NanumBarunGothic" w:hAnsi="NanumBarunGothic" w:eastAsia="NanumBarunGothic"/>
              </w:rPr>
              <w:t>고객사 로컬 런타임에서 민감 데이터 처리</w:t>
            </w:r>
          </w:p>
        </w:tc>
      </w:tr>
      <w:tr>
        <w:tc>
          <w:tcPr>
            <w:tcW w:type="dxa" w:w="3374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7"/>
                <w:rFonts w:ascii="NanumBarunGothic" w:hAnsi="NanumBarunGothic" w:eastAsia="NanumBarunGothic"/>
              </w:rPr>
              <w:t>문서 간 일관성</w:t>
            </w:r>
          </w:p>
        </w:tc>
        <w:tc>
          <w:tcPr>
            <w:tcW w:type="dxa" w:w="3374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7"/>
                <w:rFonts w:ascii="NanumBarunGothic" w:hAnsi="NanumBarunGothic" w:eastAsia="NanumBarunGothic"/>
              </w:rPr>
              <w:t>IFU, SRS, RMS, 시험성적서가 서로 불일치하면 보완 리스크 증가</w:t>
            </w:r>
          </w:p>
        </w:tc>
        <w:tc>
          <w:tcPr>
            <w:tcW w:type="dxa" w:w="3374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7"/>
                <w:rFonts w:ascii="NanumBarunGothic" w:hAnsi="NanumBarunGothic" w:eastAsia="NanumBarunGothic"/>
              </w:rPr>
              <w:t>Traceability Graph와 Consistency Guardrail</w:t>
            </w:r>
          </w:p>
        </w:tc>
      </w:tr>
      <w:tr>
        <w:tc>
          <w:tcPr>
            <w:tcW w:type="dxa" w:w="3374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7"/>
                <w:rFonts w:ascii="NanumBarunGothic" w:hAnsi="NanumBarunGothic" w:eastAsia="NanumBarunGothic"/>
              </w:rPr>
              <w:t>근거 기반 검토</w:t>
            </w:r>
          </w:p>
        </w:tc>
        <w:tc>
          <w:tcPr>
            <w:tcW w:type="dxa" w:w="3374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7"/>
                <w:rFonts w:ascii="NanumBarunGothic" w:hAnsi="NanumBarunGothic" w:eastAsia="NanumBarunGothic"/>
              </w:rPr>
              <w:t>심사/감사 대응에는 문서 변경 이력과 근거 링크가 중요</w:t>
            </w:r>
          </w:p>
        </w:tc>
        <w:tc>
          <w:tcPr>
            <w:tcW w:type="dxa" w:w="3374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7"/>
                <w:rFonts w:ascii="NanumBarunGothic" w:hAnsi="NanumBarunGothic" w:eastAsia="NanumBarunGothic"/>
              </w:rPr>
              <w:t>Audit Log, Evidence Link, Export 기능</w:t>
            </w:r>
          </w:p>
        </w:tc>
      </w:tr>
      <w:tr>
        <w:tc>
          <w:tcPr>
            <w:tcW w:type="dxa" w:w="3374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7"/>
                <w:rFonts w:ascii="NanumBarunGothic" w:hAnsi="NanumBarunGothic" w:eastAsia="NanumBarunGothic"/>
              </w:rPr>
              <w:t>셀프서비스 도입</w:t>
            </w:r>
          </w:p>
        </w:tc>
        <w:tc>
          <w:tcPr>
            <w:tcW w:type="dxa" w:w="3374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7"/>
                <w:rFonts w:ascii="NanumBarunGothic" w:hAnsi="NanumBarunGothic" w:eastAsia="NanumBarunGothic"/>
              </w:rPr>
              <w:t>스타트업은 RA 전문 인력이 부족하고 컨설팅 의존도가 높음</w:t>
            </w:r>
          </w:p>
        </w:tc>
        <w:tc>
          <w:tcPr>
            <w:tcW w:type="dxa" w:w="3374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7"/>
                <w:rFonts w:ascii="NanumBarunGothic" w:hAnsi="NanumBarunGothic" w:eastAsia="NanumBarunGothic"/>
              </w:rPr>
              <w:t>템플릿, 보정 UI, 역할별 검토 큐</w:t>
            </w:r>
          </w:p>
        </w:tc>
      </w:tr>
    </w:tbl>
    <w:p>
      <w:pPr>
        <w:spacing w:before="240" w:after="80"/>
      </w:pPr>
      <w:r>
        <w:rPr>
          <w:rFonts w:ascii="NanumSquare" w:hAnsi="NanumSquare" w:eastAsia="NanumSquare"/>
          <w:b/>
          <w:color w:val="0B2A5B"/>
          <w:sz w:val="32"/>
        </w:rPr>
        <w:t>3. 핵심 페르소나와 Job-To-Be-Done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31"/>
        <w:gridCol w:w="2531"/>
        <w:gridCol w:w="2531"/>
        <w:gridCol w:w="2531"/>
      </w:tblGrid>
      <w:tr>
        <w:tc>
          <w:tcPr>
            <w:tcW w:type="dxa" w:w="2531"/>
            <w:shd w:fill="0B63CE"/>
            <w:vAlign w:val="center"/>
          </w:tcPr>
          <w:p>
            <w:pPr>
              <w:jc w:val="center"/>
            </w:pPr>
            <w:r/>
            <w:r>
              <w:rPr>
                <w:rFonts w:ascii="NanumBarunGothic" w:hAnsi="NanumBarunGothic"/>
                <w:b/>
                <w:color w:val="FFFFFF"/>
                <w:sz w:val="16"/>
                <w:rFonts w:ascii="NanumBarunGothic" w:hAnsi="NanumBarunGothic" w:eastAsia="NanumBarunGothic"/>
              </w:rPr>
              <w:t>페르소나</w:t>
            </w:r>
          </w:p>
        </w:tc>
        <w:tc>
          <w:tcPr>
            <w:tcW w:type="dxa" w:w="2531"/>
            <w:shd w:fill="0B63CE"/>
            <w:vAlign w:val="center"/>
          </w:tcPr>
          <w:p>
            <w:pPr>
              <w:jc w:val="center"/>
            </w:pPr>
            <w:r/>
            <w:r>
              <w:rPr>
                <w:rFonts w:ascii="NanumBarunGothic" w:hAnsi="NanumBarunGothic"/>
                <w:b/>
                <w:color w:val="FFFFFF"/>
                <w:sz w:val="16"/>
                <w:rFonts w:ascii="NanumBarunGothic" w:hAnsi="NanumBarunGothic" w:eastAsia="NanumBarunGothic"/>
              </w:rPr>
              <w:t>상황</w:t>
            </w:r>
          </w:p>
        </w:tc>
        <w:tc>
          <w:tcPr>
            <w:tcW w:type="dxa" w:w="2531"/>
            <w:shd w:fill="0B63CE"/>
            <w:vAlign w:val="center"/>
          </w:tcPr>
          <w:p>
            <w:pPr>
              <w:jc w:val="center"/>
            </w:pPr>
            <w:r/>
            <w:r>
              <w:rPr>
                <w:rFonts w:ascii="NanumBarunGothic" w:hAnsi="NanumBarunGothic"/>
                <w:b/>
                <w:color w:val="FFFFFF"/>
                <w:sz w:val="16"/>
                <w:rFonts w:ascii="NanumBarunGothic" w:hAnsi="NanumBarunGothic" w:eastAsia="NanumBarunGothic"/>
              </w:rPr>
              <w:t>해야 할 일(JTBD)</w:t>
            </w:r>
          </w:p>
        </w:tc>
        <w:tc>
          <w:tcPr>
            <w:tcW w:type="dxa" w:w="2531"/>
            <w:shd w:fill="0B63CE"/>
            <w:vAlign w:val="center"/>
          </w:tcPr>
          <w:p>
            <w:pPr>
              <w:jc w:val="center"/>
            </w:pPr>
            <w:r/>
            <w:r>
              <w:rPr>
                <w:rFonts w:ascii="NanumBarunGothic" w:hAnsi="NanumBarunGothic"/>
                <w:b/>
                <w:color w:val="FFFFFF"/>
                <w:sz w:val="16"/>
                <w:rFonts w:ascii="NanumBarunGothic" w:hAnsi="NanumBarunGothic" w:eastAsia="NanumBarunGothic"/>
              </w:rPr>
              <w:t>성공 기준</w:t>
            </w:r>
          </w:p>
        </w:tc>
      </w:tr>
      <w:tr>
        <w:tc>
          <w:tcPr>
            <w:tcW w:type="dxa" w:w="2531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스타트업 CTO/대표</w:t>
            </w:r>
          </w:p>
        </w:tc>
        <w:tc>
          <w:tcPr>
            <w:tcW w:type="dxa" w:w="2531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제품 개발은 진행됐으나 DHF/STED/RMS 체계가 부족</w:t>
            </w:r>
          </w:p>
        </w:tc>
        <w:tc>
          <w:tcPr>
            <w:tcW w:type="dxa" w:w="2531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개발 산출물을 규제 문서 구조로 빠르게 정리하고 누락을 파악</w:t>
            </w:r>
          </w:p>
        </w:tc>
        <w:tc>
          <w:tcPr>
            <w:tcW w:type="dxa" w:w="2531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핵심 문서 초안과 누락 리스트 확보</w:t>
            </w:r>
          </w:p>
        </w:tc>
      </w:tr>
      <w:tr>
        <w:tc>
          <w:tcPr>
            <w:tcW w:type="dxa" w:w="2531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RA/QA 실무자</w:t>
            </w:r>
          </w:p>
        </w:tc>
        <w:tc>
          <w:tcPr>
            <w:tcW w:type="dxa" w:w="2531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제출 전 IFU/SRS/RMS/시험서 간 반복 대조 필요</w:t>
            </w:r>
          </w:p>
        </w:tc>
        <w:tc>
          <w:tcPr>
            <w:tcW w:type="dxa" w:w="2531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수치·용어·경고문·위험통제 연결성을 빠르게 검증</w:t>
            </w:r>
          </w:p>
        </w:tc>
        <w:tc>
          <w:tcPr>
            <w:tcW w:type="dxa" w:w="2531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검토 시간 단축 및 오류 사전 탐지</w:t>
            </w:r>
          </w:p>
        </w:tc>
      </w:tr>
      <w:tr>
        <w:tc>
          <w:tcPr>
            <w:tcW w:type="dxa" w:w="2531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품질책임자/관리자</w:t>
            </w:r>
          </w:p>
        </w:tc>
        <w:tc>
          <w:tcPr>
            <w:tcW w:type="dxa" w:w="2531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내부망 정책과 감사 추적성을 동시에 만족해야 함</w:t>
            </w:r>
          </w:p>
        </w:tc>
        <w:tc>
          <w:tcPr>
            <w:tcW w:type="dxa" w:w="2531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누가 무엇을 검토/승인했는지 추적하고 보관</w:t>
            </w:r>
          </w:p>
        </w:tc>
        <w:tc>
          <w:tcPr>
            <w:tcW w:type="dxa" w:w="2531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감사로그와 근거 링크 내보내기 가능</w:t>
            </w:r>
          </w:p>
        </w:tc>
      </w:tr>
      <w:tr>
        <w:tc>
          <w:tcPr>
            <w:tcW w:type="dxa" w:w="2531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컨설팅/시험기관 파트너</w:t>
            </w:r>
          </w:p>
        </w:tc>
        <w:tc>
          <w:tcPr>
            <w:tcW w:type="dxa" w:w="2531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고객별 반복 문서 검토와 설명이 과다</w:t>
            </w:r>
          </w:p>
        </w:tc>
        <w:tc>
          <w:tcPr>
            <w:tcW w:type="dxa" w:w="2531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표준 입력 템플릿과 검토 리포트로 운영 효율화</w:t>
            </w:r>
          </w:p>
        </w:tc>
        <w:tc>
          <w:tcPr>
            <w:tcW w:type="dxa" w:w="2531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재사용 가능한 체크리스트와 보고서 생성</w:t>
            </w:r>
          </w:p>
        </w:tc>
      </w:tr>
    </w:tbl>
    <w:p>
      <w:pPr>
        <w:spacing w:before="240" w:after="80"/>
      </w:pPr>
      <w:r>
        <w:rPr>
          <w:rFonts w:ascii="NanumSquare" w:hAnsi="NanumSquare" w:eastAsia="NanumSquare"/>
          <w:b/>
          <w:color w:val="0B2A5B"/>
          <w:sz w:val="32"/>
        </w:rPr>
        <w:t>4. 문제 정의와 제품 기회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31"/>
        <w:gridCol w:w="2531"/>
        <w:gridCol w:w="2531"/>
        <w:gridCol w:w="2531"/>
      </w:tblGrid>
      <w:tr>
        <w:tc>
          <w:tcPr>
            <w:tcW w:type="dxa" w:w="2531"/>
            <w:shd w:fill="0B63CE"/>
            <w:vAlign w:val="center"/>
          </w:tcPr>
          <w:p>
            <w:pPr>
              <w:jc w:val="center"/>
            </w:pPr>
            <w:r/>
            <w:r>
              <w:rPr>
                <w:rFonts w:ascii="NanumBarunGothic" w:hAnsi="NanumBarunGothic"/>
                <w:b/>
                <w:color w:val="FFFFFF"/>
                <w:sz w:val="17"/>
                <w:rFonts w:ascii="NanumBarunGothic" w:hAnsi="NanumBarunGothic" w:eastAsia="NanumBarunGothic"/>
              </w:rPr>
              <w:t>Pain Point</w:t>
            </w:r>
          </w:p>
        </w:tc>
        <w:tc>
          <w:tcPr>
            <w:tcW w:type="dxa" w:w="2531"/>
            <w:shd w:fill="0B63CE"/>
            <w:vAlign w:val="center"/>
          </w:tcPr>
          <w:p>
            <w:pPr>
              <w:jc w:val="center"/>
            </w:pPr>
            <w:r/>
            <w:r>
              <w:rPr>
                <w:rFonts w:ascii="NanumBarunGothic" w:hAnsi="NanumBarunGothic"/>
                <w:b/>
                <w:color w:val="FFFFFF"/>
                <w:sz w:val="17"/>
                <w:rFonts w:ascii="NanumBarunGothic" w:hAnsi="NanumBarunGothic" w:eastAsia="NanumBarunGothic"/>
              </w:rPr>
              <w:t>현재 대안</w:t>
            </w:r>
          </w:p>
        </w:tc>
        <w:tc>
          <w:tcPr>
            <w:tcW w:type="dxa" w:w="2531"/>
            <w:shd w:fill="0B63CE"/>
            <w:vAlign w:val="center"/>
          </w:tcPr>
          <w:p>
            <w:pPr>
              <w:jc w:val="center"/>
            </w:pPr>
            <w:r/>
            <w:r>
              <w:rPr>
                <w:rFonts w:ascii="NanumBarunGothic" w:hAnsi="NanumBarunGothic"/>
                <w:b/>
                <w:color w:val="FFFFFF"/>
                <w:sz w:val="17"/>
                <w:rFonts w:ascii="NanumBarunGothic" w:hAnsi="NanumBarunGothic" w:eastAsia="NanumBarunGothic"/>
              </w:rPr>
              <w:t>현재 대안의 한계</w:t>
            </w:r>
          </w:p>
        </w:tc>
        <w:tc>
          <w:tcPr>
            <w:tcW w:type="dxa" w:w="2531"/>
            <w:shd w:fill="0B63CE"/>
            <w:vAlign w:val="center"/>
          </w:tcPr>
          <w:p>
            <w:pPr>
              <w:jc w:val="center"/>
            </w:pPr>
            <w:r/>
            <w:r>
              <w:rPr>
                <w:rFonts w:ascii="NanumBarunGothic" w:hAnsi="NanumBarunGothic"/>
                <w:b/>
                <w:color w:val="FFFFFF"/>
                <w:sz w:val="17"/>
                <w:rFonts w:ascii="NanumBarunGothic" w:hAnsi="NanumBarunGothic" w:eastAsia="NanumBarunGothic"/>
              </w:rPr>
              <w:t>제품 기회</w:t>
            </w:r>
          </w:p>
        </w:tc>
      </w:tr>
      <w:tr>
        <w:tc>
          <w:tcPr>
            <w:tcW w:type="dxa" w:w="2531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7"/>
                <w:rFonts w:ascii="NanumBarunGothic" w:hAnsi="NanumBarunGothic" w:eastAsia="NanumBarunGothic"/>
              </w:rPr>
              <w:t>문서 소급 작성</w:t>
            </w:r>
          </w:p>
        </w:tc>
        <w:tc>
          <w:tcPr>
            <w:tcW w:type="dxa" w:w="2531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7"/>
                <w:rFonts w:ascii="NanumBarunGothic" w:hAnsi="NanumBarunGothic" w:eastAsia="NanumBarunGothic"/>
              </w:rPr>
              <w:t>컨설팅/수동 정리</w:t>
            </w:r>
          </w:p>
        </w:tc>
        <w:tc>
          <w:tcPr>
            <w:tcW w:type="dxa" w:w="2531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7"/>
                <w:rFonts w:ascii="NanumBarunGothic" w:hAnsi="NanumBarunGothic" w:eastAsia="NanumBarunGothic"/>
              </w:rPr>
              <w:t>비용 높고 지식 내재화 부족</w:t>
            </w:r>
          </w:p>
        </w:tc>
        <w:tc>
          <w:tcPr>
            <w:tcW w:type="dxa" w:w="2531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7"/>
                <w:rFonts w:ascii="NanumBarunGothic" w:hAnsi="NanumBarunGothic" w:eastAsia="NanumBarunGothic"/>
              </w:rPr>
              <w:t>개발 단계에서 표준 스키마 기반 증적 누적</w:t>
            </w:r>
          </w:p>
        </w:tc>
      </w:tr>
      <w:tr>
        <w:tc>
          <w:tcPr>
            <w:tcW w:type="dxa" w:w="2531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7"/>
                <w:rFonts w:ascii="NanumBarunGothic" w:hAnsi="NanumBarunGothic" w:eastAsia="NanumBarunGothic"/>
              </w:rPr>
              <w:t>문서 불일치</w:t>
            </w:r>
          </w:p>
        </w:tc>
        <w:tc>
          <w:tcPr>
            <w:tcW w:type="dxa" w:w="2531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7"/>
                <w:rFonts w:ascii="NanumBarunGothic" w:hAnsi="NanumBarunGothic" w:eastAsia="NanumBarunGothic"/>
              </w:rPr>
              <w:t>엑셀 체크리스트 수동 검토</w:t>
            </w:r>
          </w:p>
        </w:tc>
        <w:tc>
          <w:tcPr>
            <w:tcW w:type="dxa" w:w="2531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7"/>
                <w:rFonts w:ascii="NanumBarunGothic" w:hAnsi="NanumBarunGothic" w:eastAsia="NanumBarunGothic"/>
              </w:rPr>
              <w:t>누락 가능성, 반복 비용</w:t>
            </w:r>
          </w:p>
        </w:tc>
        <w:tc>
          <w:tcPr>
            <w:tcW w:type="dxa" w:w="2531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7"/>
                <w:rFonts w:ascii="NanumBarunGothic" w:hAnsi="NanumBarunGothic" w:eastAsia="NanumBarunGothic"/>
              </w:rPr>
              <w:t>문서 간 자동 추적성 검사</w:t>
            </w:r>
          </w:p>
        </w:tc>
      </w:tr>
      <w:tr>
        <w:tc>
          <w:tcPr>
            <w:tcW w:type="dxa" w:w="2531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7"/>
                <w:rFonts w:ascii="NanumBarunGothic" w:hAnsi="NanumBarunGothic" w:eastAsia="NanumBarunGothic"/>
              </w:rPr>
              <w:t>보안 우려</w:t>
            </w:r>
          </w:p>
        </w:tc>
        <w:tc>
          <w:tcPr>
            <w:tcW w:type="dxa" w:w="2531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7"/>
                <w:rFonts w:ascii="NanumBarunGothic" w:hAnsi="NanumBarunGothic" w:eastAsia="NanumBarunGothic"/>
              </w:rPr>
              <w:t>클라우드 SaaS 미도입</w:t>
            </w:r>
          </w:p>
        </w:tc>
        <w:tc>
          <w:tcPr>
            <w:tcW w:type="dxa" w:w="2531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7"/>
                <w:rFonts w:ascii="NanumBarunGothic" w:hAnsi="NanumBarunGothic" w:eastAsia="NanumBarunGothic"/>
              </w:rPr>
              <w:t>자동화 기회 상실</w:t>
            </w:r>
          </w:p>
        </w:tc>
        <w:tc>
          <w:tcPr>
            <w:tcW w:type="dxa" w:w="2531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7"/>
                <w:rFonts w:ascii="NanumBarunGothic" w:hAnsi="NanumBarunGothic" w:eastAsia="NanumBarunGothic"/>
              </w:rPr>
              <w:t>로컬 에이전트 기반 하이브리드 모델</w:t>
            </w:r>
          </w:p>
        </w:tc>
      </w:tr>
      <w:tr>
        <w:tc>
          <w:tcPr>
            <w:tcW w:type="dxa" w:w="2531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7"/>
                <w:rFonts w:ascii="NanumBarunGothic" w:hAnsi="NanumBarunGothic" w:eastAsia="NanumBarunGothic"/>
              </w:rPr>
              <w:t>규제 개정 대응</w:t>
            </w:r>
          </w:p>
        </w:tc>
        <w:tc>
          <w:tcPr>
            <w:tcW w:type="dxa" w:w="2531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7"/>
                <w:rFonts w:ascii="NanumBarunGothic" w:hAnsi="NanumBarunGothic" w:eastAsia="NanumBarunGothic"/>
              </w:rPr>
              <w:t>메일링/검색 수동 확인</w:t>
            </w:r>
          </w:p>
        </w:tc>
        <w:tc>
          <w:tcPr>
            <w:tcW w:type="dxa" w:w="2531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7"/>
                <w:rFonts w:ascii="NanumBarunGothic" w:hAnsi="NanumBarunGothic" w:eastAsia="NanumBarunGothic"/>
              </w:rPr>
              <w:t>영향도 판단이 늦음</w:t>
            </w:r>
          </w:p>
        </w:tc>
        <w:tc>
          <w:tcPr>
            <w:tcW w:type="dxa" w:w="2531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7"/>
                <w:rFonts w:ascii="NanumBarunGothic" w:hAnsi="NanumBarunGothic" w:eastAsia="NanumBarunGothic"/>
              </w:rPr>
              <w:t>제품군 매핑 기반 영향도 큐 생성</w:t>
            </w:r>
          </w:p>
        </w:tc>
      </w:tr>
      <w:tr>
        <w:tc>
          <w:tcPr>
            <w:tcW w:type="dxa" w:w="2531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7"/>
                <w:rFonts w:ascii="NanumBarunGothic" w:hAnsi="NanumBarunGothic" w:eastAsia="NanumBarunGothic"/>
              </w:rPr>
              <w:t>RA 인력 부족</w:t>
            </w:r>
          </w:p>
        </w:tc>
        <w:tc>
          <w:tcPr>
            <w:tcW w:type="dxa" w:w="2531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7"/>
                <w:rFonts w:ascii="NanumBarunGothic" w:hAnsi="NanumBarunGothic" w:eastAsia="NanumBarunGothic"/>
              </w:rPr>
              <w:t>외부 전문가 의존</w:t>
            </w:r>
          </w:p>
        </w:tc>
        <w:tc>
          <w:tcPr>
            <w:tcW w:type="dxa" w:w="2531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7"/>
                <w:rFonts w:ascii="NanumBarunGothic" w:hAnsi="NanumBarunGothic" w:eastAsia="NanumBarunGothic"/>
              </w:rPr>
              <w:t>비용·일정·지식 이전 문제</w:t>
            </w:r>
          </w:p>
        </w:tc>
        <w:tc>
          <w:tcPr>
            <w:tcW w:type="dxa" w:w="2531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7"/>
                <w:rFonts w:ascii="NanumBarunGothic" w:hAnsi="NanumBarunGothic" w:eastAsia="NanumBarunGothic"/>
              </w:rPr>
              <w:t>셀프서비스 가이드와 검토 워크플로</w:t>
            </w:r>
          </w:p>
        </w:tc>
      </w:tr>
    </w:tbl>
    <w:p>
      <w:pPr>
        <w:spacing w:before="240" w:after="80"/>
      </w:pPr>
      <w:r>
        <w:rPr>
          <w:rFonts w:ascii="NanumSquare" w:hAnsi="NanumSquare" w:eastAsia="NanumSquare"/>
          <w:b/>
          <w:color w:val="0B2A5B"/>
          <w:sz w:val="32"/>
        </w:rPr>
        <w:t>5. 요구사항 매트릭스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25"/>
        <w:gridCol w:w="2025"/>
        <w:gridCol w:w="2025"/>
        <w:gridCol w:w="2025"/>
        <w:gridCol w:w="2025"/>
      </w:tblGrid>
      <w:tr>
        <w:tc>
          <w:tcPr>
            <w:tcW w:type="dxa" w:w="2025"/>
            <w:shd w:fill="0B63CE"/>
            <w:vAlign w:val="center"/>
          </w:tcPr>
          <w:p>
            <w:pPr>
              <w:jc w:val="center"/>
            </w:pPr>
            <w:r/>
            <w:r>
              <w:rPr>
                <w:rFonts w:ascii="NanumBarunGothic" w:hAnsi="NanumBarunGothic"/>
                <w:b/>
                <w:color w:val="FFFFFF"/>
                <w:sz w:val="15"/>
                <w:rFonts w:ascii="NanumBarunGothic" w:hAnsi="NanumBarunGothic" w:eastAsia="NanumBarunGothic"/>
              </w:rPr>
              <w:t>ID</w:t>
            </w:r>
          </w:p>
        </w:tc>
        <w:tc>
          <w:tcPr>
            <w:tcW w:type="dxa" w:w="2025"/>
            <w:shd w:fill="0B63CE"/>
            <w:vAlign w:val="center"/>
          </w:tcPr>
          <w:p>
            <w:pPr>
              <w:jc w:val="center"/>
            </w:pPr>
            <w:r/>
            <w:r>
              <w:rPr>
                <w:rFonts w:ascii="NanumBarunGothic" w:hAnsi="NanumBarunGothic"/>
                <w:b/>
                <w:color w:val="FFFFFF"/>
                <w:sz w:val="15"/>
                <w:rFonts w:ascii="NanumBarunGothic" w:hAnsi="NanumBarunGothic" w:eastAsia="NanumBarunGothic"/>
              </w:rPr>
              <w:t>요구사항</w:t>
            </w:r>
          </w:p>
        </w:tc>
        <w:tc>
          <w:tcPr>
            <w:tcW w:type="dxa" w:w="2025"/>
            <w:shd w:fill="0B63CE"/>
            <w:vAlign w:val="center"/>
          </w:tcPr>
          <w:p>
            <w:pPr>
              <w:jc w:val="center"/>
            </w:pPr>
            <w:r/>
            <w:r>
              <w:rPr>
                <w:rFonts w:ascii="NanumBarunGothic" w:hAnsi="NanumBarunGothic"/>
                <w:b/>
                <w:color w:val="FFFFFF"/>
                <w:sz w:val="15"/>
                <w:rFonts w:ascii="NanumBarunGothic" w:hAnsi="NanumBarunGothic" w:eastAsia="NanumBarunGothic"/>
              </w:rPr>
              <w:t>구현 기준</w:t>
            </w:r>
          </w:p>
        </w:tc>
        <w:tc>
          <w:tcPr>
            <w:tcW w:type="dxa" w:w="2025"/>
            <w:shd w:fill="0B63CE"/>
            <w:vAlign w:val="center"/>
          </w:tcPr>
          <w:p>
            <w:pPr>
              <w:jc w:val="center"/>
            </w:pPr>
            <w:r/>
            <w:r>
              <w:rPr>
                <w:rFonts w:ascii="NanumBarunGothic" w:hAnsi="NanumBarunGothic"/>
                <w:b/>
                <w:color w:val="FFFFFF"/>
                <w:sz w:val="15"/>
                <w:rFonts w:ascii="NanumBarunGothic" w:hAnsi="NanumBarunGothic" w:eastAsia="NanumBarunGothic"/>
              </w:rPr>
              <w:t>범위</w:t>
            </w:r>
          </w:p>
        </w:tc>
        <w:tc>
          <w:tcPr>
            <w:tcW w:type="dxa" w:w="2025"/>
            <w:shd w:fill="0B63CE"/>
            <w:vAlign w:val="center"/>
          </w:tcPr>
          <w:p>
            <w:pPr>
              <w:jc w:val="center"/>
            </w:pPr>
            <w:r/>
            <w:r>
              <w:rPr>
                <w:rFonts w:ascii="NanumBarunGothic" w:hAnsi="NanumBarunGothic"/>
                <w:b/>
                <w:color w:val="FFFFFF"/>
                <w:sz w:val="15"/>
                <w:rFonts w:ascii="NanumBarunGothic" w:hAnsi="NanumBarunGothic" w:eastAsia="NanumBarunGothic"/>
              </w:rPr>
              <w:t>수용/검증 기준</w:t>
            </w:r>
          </w:p>
        </w:tc>
      </w:tr>
      <w:tr>
        <w:tc>
          <w:tcPr>
            <w:tcW w:type="dxa" w:w="2025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5"/>
                <w:rFonts w:ascii="NanumBarunGothic" w:hAnsi="NanumBarunGothic" w:eastAsia="NanumBarunGothic"/>
              </w:rPr>
              <w:t>REQ-MRD-101</w:t>
            </w:r>
          </w:p>
        </w:tc>
        <w:tc>
          <w:tcPr>
            <w:tcW w:type="dxa" w:w="2025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5"/>
                <w:rFonts w:ascii="NanumBarunGothic" w:hAnsi="NanumBarunGothic" w:eastAsia="NanumBarunGothic"/>
              </w:rPr>
              <w:t>Air-Gapped Privacy</w:t>
            </w:r>
          </w:p>
        </w:tc>
        <w:tc>
          <w:tcPr>
            <w:tcW w:type="dxa" w:w="2025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5"/>
                <w:rFonts w:ascii="NanumBarunGothic" w:hAnsi="NanumBarunGothic" w:eastAsia="NanumBarunGothic"/>
              </w:rPr>
              <w:t>민감 문서는 고객사 로컬에서만 처리하고 클라우드는 공개 규제정보, 지식팩, 메타데이터 중심으로 보유한다.</w:t>
            </w:r>
          </w:p>
        </w:tc>
        <w:tc>
          <w:tcPr>
            <w:tcW w:type="dxa" w:w="2025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5"/>
                <w:rFonts w:ascii="NanumBarunGothic" w:hAnsi="NanumBarunGothic" w:eastAsia="NanumBarunGothic"/>
              </w:rPr>
              <w:t>MVP 필수</w:t>
            </w:r>
          </w:p>
        </w:tc>
        <w:tc>
          <w:tcPr>
            <w:tcW w:type="dxa" w:w="2025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5"/>
                <w:rFonts w:ascii="NanumBarunGothic" w:hAnsi="NanumBarunGothic" w:eastAsia="NanumBarunGothic"/>
              </w:rPr>
              <w:t>로컬 패킷 캡처/로그로 원문 미전송 검증</w:t>
            </w:r>
          </w:p>
        </w:tc>
      </w:tr>
      <w:tr>
        <w:tc>
          <w:tcPr>
            <w:tcW w:type="dxa" w:w="2025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5"/>
                <w:rFonts w:ascii="NanumBarunGothic" w:hAnsi="NanumBarunGothic" w:eastAsia="NanumBarunGothic"/>
              </w:rPr>
              <w:t>REQ-MRD-102</w:t>
            </w:r>
          </w:p>
        </w:tc>
        <w:tc>
          <w:tcPr>
            <w:tcW w:type="dxa" w:w="2025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5"/>
                <w:rFonts w:ascii="NanumBarunGothic" w:hAnsi="NanumBarunGothic" w:eastAsia="NanumBarunGothic"/>
              </w:rPr>
              <w:t>Zero-Customization Ingestion</w:t>
            </w:r>
          </w:p>
        </w:tc>
        <w:tc>
          <w:tcPr>
            <w:tcW w:type="dxa" w:w="2025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5"/>
                <w:rFonts w:ascii="NanumBarunGothic" w:hAnsi="NanumBarunGothic" w:eastAsia="NanumBarunGothic"/>
              </w:rPr>
              <w:t>DOCX/XLSX 중심 정규화와 Unified Schema 자동 매핑을 제공하고, 낮은 신뢰도는 수동 보정 UI로 넘긴다.</w:t>
            </w:r>
          </w:p>
        </w:tc>
        <w:tc>
          <w:tcPr>
            <w:tcW w:type="dxa" w:w="2025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5"/>
                <w:rFonts w:ascii="NanumBarunGothic" w:hAnsi="NanumBarunGothic" w:eastAsia="NanumBarunGothic"/>
              </w:rPr>
              <w:t>MVP 필수</w:t>
            </w:r>
          </w:p>
        </w:tc>
        <w:tc>
          <w:tcPr>
            <w:tcW w:type="dxa" w:w="2025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5"/>
                <w:rFonts w:ascii="NanumBarunGothic" w:hAnsi="NanumBarunGothic" w:eastAsia="NanumBarunGothic"/>
              </w:rPr>
              <w:t>핵심 필드 85%+ 목표, 신뢰도 미달 필드 표시</w:t>
            </w:r>
          </w:p>
        </w:tc>
      </w:tr>
      <w:tr>
        <w:tc>
          <w:tcPr>
            <w:tcW w:type="dxa" w:w="2025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5"/>
                <w:rFonts w:ascii="NanumBarunGothic" w:hAnsi="NanumBarunGothic" w:eastAsia="NanumBarunGothic"/>
              </w:rPr>
              <w:t>REQ-MRD-103</w:t>
            </w:r>
          </w:p>
        </w:tc>
        <w:tc>
          <w:tcPr>
            <w:tcW w:type="dxa" w:w="2025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5"/>
                <w:rFonts w:ascii="NanumBarunGothic" w:hAnsi="NanumBarunGothic" w:eastAsia="NanumBarunGothic"/>
              </w:rPr>
              <w:t>Regulatory Impact Analysis</w:t>
            </w:r>
          </w:p>
        </w:tc>
        <w:tc>
          <w:tcPr>
            <w:tcW w:type="dxa" w:w="2025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5"/>
                <w:rFonts w:ascii="NanumBarunGothic" w:hAnsi="NanumBarunGothic" w:eastAsia="NanumBarunGothic"/>
              </w:rPr>
              <w:t>규제 개정 발생 시 관련 제품군, 문서, 요구항목에 대한 영향도 리포트와 검토 큐를 생성한다.</w:t>
            </w:r>
          </w:p>
        </w:tc>
        <w:tc>
          <w:tcPr>
            <w:tcW w:type="dxa" w:w="2025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5"/>
                <w:rFonts w:ascii="NanumBarunGothic" w:hAnsi="NanumBarunGothic" w:eastAsia="NanumBarunGothic"/>
              </w:rPr>
              <w:t>MVP 필수</w:t>
            </w:r>
          </w:p>
        </w:tc>
        <w:tc>
          <w:tcPr>
            <w:tcW w:type="dxa" w:w="2025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5"/>
                <w:rFonts w:ascii="NanumBarunGothic" w:hAnsi="NanumBarunGothic" w:eastAsia="NanumBarunGothic"/>
              </w:rPr>
              <w:t>변경 이벤트 24h 내 큐 생성</w:t>
            </w:r>
          </w:p>
        </w:tc>
      </w:tr>
      <w:tr>
        <w:tc>
          <w:tcPr>
            <w:tcW w:type="dxa" w:w="2025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5"/>
                <w:rFonts w:ascii="NanumBarunGothic" w:hAnsi="NanumBarunGothic" w:eastAsia="NanumBarunGothic"/>
              </w:rPr>
              <w:t>REQ-MRD-104</w:t>
            </w:r>
          </w:p>
        </w:tc>
        <w:tc>
          <w:tcPr>
            <w:tcW w:type="dxa" w:w="2025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5"/>
                <w:rFonts w:ascii="NanumBarunGothic" w:hAnsi="NanumBarunGothic" w:eastAsia="NanumBarunGothic"/>
              </w:rPr>
              <w:t>Cross-Document Traceability</w:t>
            </w:r>
          </w:p>
        </w:tc>
        <w:tc>
          <w:tcPr>
            <w:tcW w:type="dxa" w:w="2025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5"/>
                <w:rFonts w:ascii="NanumBarunGothic" w:hAnsi="NanumBarunGothic" w:eastAsia="NanumBarunGothic"/>
              </w:rPr>
              <w:t>위험관리 통제수단과 SRS/IFU/시험증적 사이의 연결성 검사를 수행한다.</w:t>
            </w:r>
          </w:p>
        </w:tc>
        <w:tc>
          <w:tcPr>
            <w:tcW w:type="dxa" w:w="2025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5"/>
                <w:rFonts w:ascii="NanumBarunGothic" w:hAnsi="NanumBarunGothic" w:eastAsia="NanumBarunGothic"/>
              </w:rPr>
              <w:t>MVP 필수</w:t>
            </w:r>
          </w:p>
        </w:tc>
        <w:tc>
          <w:tcPr>
            <w:tcW w:type="dxa" w:w="2025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5"/>
                <w:rFonts w:ascii="NanumBarunGothic" w:hAnsi="NanumBarunGothic" w:eastAsia="NanumBarunGothic"/>
              </w:rPr>
              <w:t>누락/불일치 플래그 생성 및 근거 표시</w:t>
            </w:r>
          </w:p>
        </w:tc>
      </w:tr>
      <w:tr>
        <w:tc>
          <w:tcPr>
            <w:tcW w:type="dxa" w:w="2025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5"/>
                <w:rFonts w:ascii="NanumBarunGothic" w:hAnsi="NanumBarunGothic" w:eastAsia="NanumBarunGothic"/>
              </w:rPr>
              <w:t>REQ-MRD-105</w:t>
            </w:r>
          </w:p>
        </w:tc>
        <w:tc>
          <w:tcPr>
            <w:tcW w:type="dxa" w:w="2025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5"/>
                <w:rFonts w:ascii="NanumBarunGothic" w:hAnsi="NanumBarunGothic" w:eastAsia="NanumBarunGothic"/>
              </w:rPr>
              <w:t>Self-Service UX</w:t>
            </w:r>
          </w:p>
        </w:tc>
        <w:tc>
          <w:tcPr>
            <w:tcW w:type="dxa" w:w="2025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5"/>
                <w:rFonts w:ascii="NanumBarunGothic" w:hAnsi="NanumBarunGothic" w:eastAsia="NanumBarunGothic"/>
              </w:rPr>
              <w:t>업로드, 파싱 결과 확인, 보정, 승인, 산출물 내보내기를 비개발자도 사용할 수 있게 제공한다.</w:t>
            </w:r>
          </w:p>
        </w:tc>
        <w:tc>
          <w:tcPr>
            <w:tcW w:type="dxa" w:w="2025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5"/>
                <w:rFonts w:ascii="NanumBarunGothic" w:hAnsi="NanumBarunGothic" w:eastAsia="NanumBarunGothic"/>
              </w:rPr>
              <w:t>상용화 필수</w:t>
            </w:r>
          </w:p>
        </w:tc>
        <w:tc>
          <w:tcPr>
            <w:tcW w:type="dxa" w:w="2025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5"/>
                <w:rFonts w:ascii="NanumBarunGothic" w:hAnsi="NanumBarunGothic" w:eastAsia="NanumBarunGothic"/>
              </w:rPr>
              <w:t>가이드 없이 기본 작업 완료 가능</w:t>
            </w:r>
          </w:p>
        </w:tc>
      </w:tr>
      <w:tr>
        <w:tc>
          <w:tcPr>
            <w:tcW w:type="dxa" w:w="2025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5"/>
                <w:rFonts w:ascii="NanumBarunGothic" w:hAnsi="NanumBarunGothic" w:eastAsia="NanumBarunGothic"/>
              </w:rPr>
              <w:t>REQ-MRD-106</w:t>
            </w:r>
          </w:p>
        </w:tc>
        <w:tc>
          <w:tcPr>
            <w:tcW w:type="dxa" w:w="2025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5"/>
                <w:rFonts w:ascii="NanumBarunGothic" w:hAnsi="NanumBarunGothic" w:eastAsia="NanumBarunGothic"/>
              </w:rPr>
              <w:t>Multi-Region Knowledge Packs</w:t>
            </w:r>
          </w:p>
        </w:tc>
        <w:tc>
          <w:tcPr>
            <w:tcW w:type="dxa" w:w="2025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5"/>
                <w:rFonts w:ascii="NanumBarunGothic" w:hAnsi="NanumBarunGothic" w:eastAsia="NanumBarunGothic"/>
              </w:rPr>
              <w:t>FDA, MFDS, EU MDR 지식팩을 국가/제품군/버전별로 분리 관리한다.</w:t>
            </w:r>
          </w:p>
        </w:tc>
        <w:tc>
          <w:tcPr>
            <w:tcW w:type="dxa" w:w="2025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5"/>
                <w:rFonts w:ascii="NanumBarunGothic" w:hAnsi="NanumBarunGothic" w:eastAsia="NanumBarunGothic"/>
              </w:rPr>
              <w:t>MVP 중요</w:t>
            </w:r>
          </w:p>
        </w:tc>
        <w:tc>
          <w:tcPr>
            <w:tcW w:type="dxa" w:w="2025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5"/>
                <w:rFonts w:ascii="NanumBarunGothic" w:hAnsi="NanumBarunGothic" w:eastAsia="NanumBarunGothic"/>
              </w:rPr>
              <w:t>지식팩 버전과 적용 제품군 표시</w:t>
            </w:r>
          </w:p>
        </w:tc>
      </w:tr>
      <w:tr>
        <w:tc>
          <w:tcPr>
            <w:tcW w:type="dxa" w:w="2025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5"/>
                <w:rFonts w:ascii="NanumBarunGothic" w:hAnsi="NanumBarunGothic" w:eastAsia="NanumBarunGothic"/>
              </w:rPr>
              <w:t>REQ-MRD-107</w:t>
            </w:r>
          </w:p>
        </w:tc>
        <w:tc>
          <w:tcPr>
            <w:tcW w:type="dxa" w:w="2025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5"/>
                <w:rFonts w:ascii="NanumBarunGothic" w:hAnsi="NanumBarunGothic" w:eastAsia="NanumBarunGothic"/>
              </w:rPr>
              <w:t>Audit &amp; Evidence</w:t>
            </w:r>
          </w:p>
        </w:tc>
        <w:tc>
          <w:tcPr>
            <w:tcW w:type="dxa" w:w="2025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5"/>
                <w:rFonts w:ascii="NanumBarunGothic" w:hAnsi="NanumBarunGothic" w:eastAsia="NanumBarunGothic"/>
              </w:rPr>
              <w:t>수정 이력, 검토 로그, 근거 링크, 산출물 버전을 보관해 감사 대응을 가능하게 한다.</w:t>
            </w:r>
          </w:p>
        </w:tc>
        <w:tc>
          <w:tcPr>
            <w:tcW w:type="dxa" w:w="2025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5"/>
                <w:rFonts w:ascii="NanumBarunGothic" w:hAnsi="NanumBarunGothic" w:eastAsia="NanumBarunGothic"/>
              </w:rPr>
              <w:t>MVP 필수</w:t>
            </w:r>
          </w:p>
        </w:tc>
        <w:tc>
          <w:tcPr>
            <w:tcW w:type="dxa" w:w="2025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5"/>
                <w:rFonts w:ascii="NanumBarunGothic" w:hAnsi="NanumBarunGothic" w:eastAsia="NanumBarunGothic"/>
              </w:rPr>
              <w:t>작업자/시간/변경 전후/근거 링크 조회 가능</w:t>
            </w:r>
          </w:p>
        </w:tc>
      </w:tr>
      <w:tr>
        <w:tc>
          <w:tcPr>
            <w:tcW w:type="dxa" w:w="2025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5"/>
                <w:rFonts w:ascii="NanumBarunGothic" w:hAnsi="NanumBarunGothic" w:eastAsia="NanumBarunGothic"/>
              </w:rPr>
              <w:t>REQ-MRD-108</w:t>
            </w:r>
          </w:p>
        </w:tc>
        <w:tc>
          <w:tcPr>
            <w:tcW w:type="dxa" w:w="2025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5"/>
                <w:rFonts w:ascii="NanumBarunGothic" w:hAnsi="NanumBarunGothic" w:eastAsia="NanumBarunGothic"/>
              </w:rPr>
              <w:t>Role &amp; Permission</w:t>
            </w:r>
          </w:p>
        </w:tc>
        <w:tc>
          <w:tcPr>
            <w:tcW w:type="dxa" w:w="2025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5"/>
                <w:rFonts w:ascii="NanumBarunGothic" w:hAnsi="NanumBarunGothic" w:eastAsia="NanumBarunGothic"/>
              </w:rPr>
              <w:t>RA/QA/개발/관리자 역할별 조회·수정·승인 권한을 분리한다.</w:t>
            </w:r>
          </w:p>
        </w:tc>
        <w:tc>
          <w:tcPr>
            <w:tcW w:type="dxa" w:w="2025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5"/>
                <w:rFonts w:ascii="NanumBarunGothic" w:hAnsi="NanumBarunGothic" w:eastAsia="NanumBarunGothic"/>
              </w:rPr>
              <w:t>상용화 필수</w:t>
            </w:r>
          </w:p>
        </w:tc>
        <w:tc>
          <w:tcPr>
            <w:tcW w:type="dxa" w:w="2025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5"/>
                <w:rFonts w:ascii="NanumBarunGothic" w:hAnsi="NanumBarunGothic" w:eastAsia="NanumBarunGothic"/>
              </w:rPr>
              <w:t>권한 없는 사용자의 수정 차단</w:t>
            </w:r>
          </w:p>
        </w:tc>
      </w:tr>
      <w:tr>
        <w:tc>
          <w:tcPr>
            <w:tcW w:type="dxa" w:w="2025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5"/>
                <w:rFonts w:ascii="NanumBarunGothic" w:hAnsi="NanumBarunGothic" w:eastAsia="NanumBarunGothic"/>
              </w:rPr>
              <w:t>REQ-MRD-109</w:t>
            </w:r>
          </w:p>
        </w:tc>
        <w:tc>
          <w:tcPr>
            <w:tcW w:type="dxa" w:w="2025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5"/>
                <w:rFonts w:ascii="NanumBarunGothic" w:hAnsi="NanumBarunGothic" w:eastAsia="NanumBarunGothic"/>
              </w:rPr>
              <w:t>Deployment Fit</w:t>
            </w:r>
          </w:p>
        </w:tc>
        <w:tc>
          <w:tcPr>
            <w:tcW w:type="dxa" w:w="2025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5"/>
                <w:rFonts w:ascii="NanumBarunGothic" w:hAnsi="NanumBarunGothic" w:eastAsia="NanumBarunGothic"/>
              </w:rPr>
              <w:t>고객사 내부망 정책에 맞춘 Docker 패키지, 오프라인 설치, 환경 점검 절차를 제공한다.</w:t>
            </w:r>
          </w:p>
        </w:tc>
        <w:tc>
          <w:tcPr>
            <w:tcW w:type="dxa" w:w="2025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5"/>
                <w:rFonts w:ascii="NanumBarunGothic" w:hAnsi="NanumBarunGothic" w:eastAsia="NanumBarunGothic"/>
              </w:rPr>
              <w:t>상용화 필수</w:t>
            </w:r>
          </w:p>
        </w:tc>
        <w:tc>
          <w:tcPr>
            <w:tcW w:type="dxa" w:w="2025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5"/>
                <w:rFonts w:ascii="NanumBarunGothic" w:hAnsi="NanumBarunGothic" w:eastAsia="NanumBarunGothic"/>
              </w:rPr>
              <w:t>1일 이내 표준 설치 목표</w:t>
            </w:r>
          </w:p>
        </w:tc>
      </w:tr>
      <w:tr>
        <w:tc>
          <w:tcPr>
            <w:tcW w:type="dxa" w:w="2025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5"/>
                <w:rFonts w:ascii="NanumBarunGothic" w:hAnsi="NanumBarunGothic" w:eastAsia="NanumBarunGothic"/>
              </w:rPr>
              <w:t>REQ-MRD-110</w:t>
            </w:r>
          </w:p>
        </w:tc>
        <w:tc>
          <w:tcPr>
            <w:tcW w:type="dxa" w:w="2025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5"/>
                <w:rFonts w:ascii="NanumBarunGothic" w:hAnsi="NanumBarunGothic" w:eastAsia="NanumBarunGothic"/>
              </w:rPr>
              <w:t>Explainable AI Output</w:t>
            </w:r>
          </w:p>
        </w:tc>
        <w:tc>
          <w:tcPr>
            <w:tcW w:type="dxa" w:w="2025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5"/>
                <w:rFonts w:ascii="NanumBarunGothic" w:hAnsi="NanumBarunGothic" w:eastAsia="NanumBarunGothic"/>
              </w:rPr>
              <w:t>AI 답변에는 근거 문서, 조항/청크, confidence, 검토 필요 여부를 표시한다.</w:t>
            </w:r>
          </w:p>
        </w:tc>
        <w:tc>
          <w:tcPr>
            <w:tcW w:type="dxa" w:w="2025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5"/>
                <w:rFonts w:ascii="NanumBarunGothic" w:hAnsi="NanumBarunGothic" w:eastAsia="NanumBarunGothic"/>
              </w:rPr>
              <w:t>MVP 필수</w:t>
            </w:r>
          </w:p>
        </w:tc>
        <w:tc>
          <w:tcPr>
            <w:tcW w:type="dxa" w:w="2025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5"/>
                <w:rFonts w:ascii="NanumBarunGothic" w:hAnsi="NanumBarunGothic" w:eastAsia="NanumBarunGothic"/>
              </w:rPr>
              <w:t>근거 없는 답변 제출 차단</w:t>
            </w:r>
          </w:p>
        </w:tc>
      </w:tr>
    </w:tbl>
    <w:p>
      <w:pPr>
        <w:spacing w:before="240" w:after="80"/>
      </w:pPr>
      <w:r>
        <w:rPr>
          <w:rFonts w:ascii="NanumSquare" w:hAnsi="NanumSquare" w:eastAsia="NanumSquare"/>
          <w:b/>
          <w:color w:val="0B2A5B"/>
          <w:sz w:val="32"/>
        </w:rPr>
        <w:t>6. MVP 범위와 제외 범위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c>
          <w:tcPr>
            <w:tcW w:type="dxa" w:w="3374"/>
            <w:shd w:fill="0B63CE"/>
            <w:vAlign w:val="center"/>
          </w:tcPr>
          <w:p>
            <w:pPr>
              <w:jc w:val="center"/>
            </w:pPr>
            <w:r/>
            <w:r>
              <w:rPr>
                <w:rFonts w:ascii="NanumBarunGothic" w:hAnsi="NanumBarunGothic"/>
                <w:b/>
                <w:color w:val="FFFFFF"/>
                <w:sz w:val="16"/>
                <w:rFonts w:ascii="NanumBarunGothic" w:hAnsi="NanumBarunGothic" w:eastAsia="NanumBarunGothic"/>
              </w:rPr>
              <w:t>구분</w:t>
            </w:r>
          </w:p>
        </w:tc>
        <w:tc>
          <w:tcPr>
            <w:tcW w:type="dxa" w:w="3374"/>
            <w:shd w:fill="0B63CE"/>
            <w:vAlign w:val="center"/>
          </w:tcPr>
          <w:p>
            <w:pPr>
              <w:jc w:val="center"/>
            </w:pPr>
            <w:r/>
            <w:r>
              <w:rPr>
                <w:rFonts w:ascii="NanumBarunGothic" w:hAnsi="NanumBarunGothic"/>
                <w:b/>
                <w:color w:val="FFFFFF"/>
                <w:sz w:val="16"/>
                <w:rFonts w:ascii="NanumBarunGothic" w:hAnsi="NanumBarunGothic" w:eastAsia="NanumBarunGothic"/>
              </w:rPr>
              <w:t>MVP 포함</w:t>
            </w:r>
          </w:p>
        </w:tc>
        <w:tc>
          <w:tcPr>
            <w:tcW w:type="dxa" w:w="3374"/>
            <w:shd w:fill="0B63CE"/>
            <w:vAlign w:val="center"/>
          </w:tcPr>
          <w:p>
            <w:pPr>
              <w:jc w:val="center"/>
            </w:pPr>
            <w:r/>
            <w:r>
              <w:rPr>
                <w:rFonts w:ascii="NanumBarunGothic" w:hAnsi="NanumBarunGothic"/>
                <w:b/>
                <w:color w:val="FFFFFF"/>
                <w:sz w:val="16"/>
                <w:rFonts w:ascii="NanumBarunGothic" w:hAnsi="NanumBarunGothic" w:eastAsia="NanumBarunGothic"/>
              </w:rPr>
              <w:t>MVP 제외/후순위</w:t>
            </w:r>
          </w:p>
        </w:tc>
      </w:tr>
      <w:tr>
        <w:tc>
          <w:tcPr>
            <w:tcW w:type="dxa" w:w="3374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규제 소스</w:t>
            </w:r>
          </w:p>
        </w:tc>
        <w:tc>
          <w:tcPr>
            <w:tcW w:type="dxa" w:w="3374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FDA 주요 가이던스/개요, MFDS 의료기기 규정 목록, EU MDR 핵심 문서</w:t>
            </w:r>
          </w:p>
        </w:tc>
        <w:tc>
          <w:tcPr>
            <w:tcW w:type="dxa" w:w="3374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모든 국가/언어/품목군 자동 커버리지</w:t>
            </w:r>
          </w:p>
        </w:tc>
      </w:tr>
      <w:tr>
        <w:tc>
          <w:tcPr>
            <w:tcW w:type="dxa" w:w="3374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문서 포맷</w:t>
            </w:r>
          </w:p>
        </w:tc>
        <w:tc>
          <w:tcPr>
            <w:tcW w:type="dxa" w:w="3374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DOCX, XLSX, 텍스트 기반 PDF 일부</w:t>
            </w:r>
          </w:p>
        </w:tc>
        <w:tc>
          <w:tcPr>
            <w:tcW w:type="dxa" w:w="3374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스캔 품질 낮은 이미지 PDF 완전 자동 OCR</w:t>
            </w:r>
          </w:p>
        </w:tc>
      </w:tr>
      <w:tr>
        <w:tc>
          <w:tcPr>
            <w:tcW w:type="dxa" w:w="3374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문서 유형</w:t>
            </w:r>
          </w:p>
        </w:tc>
        <w:tc>
          <w:tcPr>
            <w:tcW w:type="dxa" w:w="3374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IFU, SRS, 위험관리 파일, 시험성적서 요약</w:t>
            </w:r>
          </w:p>
        </w:tc>
        <w:tc>
          <w:tcPr>
            <w:tcW w:type="dxa" w:w="3374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임상 원자료, 원본 소스코드, CAD/회로도 분석</w:t>
            </w:r>
          </w:p>
        </w:tc>
      </w:tr>
      <w:tr>
        <w:tc>
          <w:tcPr>
            <w:tcW w:type="dxa" w:w="3374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AI 기능</w:t>
            </w:r>
          </w:p>
        </w:tc>
        <w:tc>
          <w:tcPr>
            <w:tcW w:type="dxa" w:w="3374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근거 기반 검색, 초안/요약, 불일치 후보 제시</w:t>
            </w:r>
          </w:p>
        </w:tc>
        <w:tc>
          <w:tcPr>
            <w:tcW w:type="dxa" w:w="3374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규제 승인 가능성 자동 판정</w:t>
            </w:r>
          </w:p>
        </w:tc>
      </w:tr>
      <w:tr>
        <w:tc>
          <w:tcPr>
            <w:tcW w:type="dxa" w:w="3374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배포</w:t>
            </w:r>
          </w:p>
        </w:tc>
        <w:tc>
          <w:tcPr>
            <w:tcW w:type="dxa" w:w="3374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단일 고객사 로컬 Docker, 클라우드 지식팩</w:t>
            </w:r>
          </w:p>
        </w:tc>
        <w:tc>
          <w:tcPr>
            <w:tcW w:type="dxa" w:w="3374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대규모 멀티사이트 복제/DR 자동화</w:t>
            </w:r>
          </w:p>
        </w:tc>
      </w:tr>
      <w:tr>
        <w:tc>
          <w:tcPr>
            <w:tcW w:type="dxa" w:w="3374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서비스</w:t>
            </w:r>
          </w:p>
        </w:tc>
        <w:tc>
          <w:tcPr>
            <w:tcW w:type="dxa" w:w="3374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표준 온보딩/체크리스트</w:t>
            </w:r>
          </w:p>
        </w:tc>
        <w:tc>
          <w:tcPr>
            <w:tcW w:type="dxa" w:w="3374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무제한 문서 양식 커스터마이징 대행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23"/>
      </w:tblGrid>
      <w:tr>
        <w:tc>
          <w:tcPr>
            <w:tcW w:type="dxa" w:w="10123"/>
            <w:shd w:fill="F0FDF4"/>
          </w:tcPr>
          <w:p>
            <w:r>
              <w:rPr>
                <w:rFonts w:ascii="NanumSquare" w:hAnsi="NanumSquare" w:eastAsia="NanumSquare"/>
                <w:b/>
                <w:color w:val="0B2A5B"/>
                <w:sz w:val="21"/>
              </w:rPr>
              <w:t>MVP 성공 조건</w:t>
            </w:r>
          </w:p>
          <w:p>
            <w:pPr>
              <w:pStyle w:val="ListBullet"/>
              <w:spacing w:after="20"/>
            </w:pPr>
            <w:r>
              <w:rPr>
                <w:rFonts w:ascii="NanumBarunGothic" w:hAnsi="NanumBarunGothic" w:eastAsia="NanumBarunGothic"/>
                <w:color w:val="1F2937"/>
                <w:sz w:val="19"/>
              </w:rPr>
              <w:t>초기 고객은 표준 스키마 도입과 책임자 검토 프로세스를 수용해야 한다.</w:t>
            </w:r>
          </w:p>
          <w:p>
            <w:pPr>
              <w:pStyle w:val="ListBullet"/>
              <w:spacing w:after="20"/>
            </w:pPr>
            <w:r>
              <w:rPr>
                <w:rFonts w:ascii="NanumBarunGothic" w:hAnsi="NanumBarunGothic" w:eastAsia="NanumBarunGothic"/>
                <w:color w:val="1F2937"/>
                <w:sz w:val="19"/>
              </w:rPr>
              <w:t>핵심 지표는 문서 초안 작성 자동화보다 “누락/불일치 탐지와 근거 링크 보존”에 둔다.</w:t>
            </w:r>
          </w:p>
          <w:p>
            <w:pPr>
              <w:pStyle w:val="ListBullet"/>
              <w:spacing w:after="20"/>
            </w:pPr>
            <w:r>
              <w:rPr>
                <w:rFonts w:ascii="NanumBarunGothic" w:hAnsi="NanumBarunGothic" w:eastAsia="NanumBarunGothic"/>
                <w:color w:val="1F2937"/>
                <w:sz w:val="19"/>
              </w:rPr>
              <w:t>규제 변경 영향도는 자동 확정이 아니라 검토 큐와 근거 기반 초안으로 제공한다.</w:t>
            </w:r>
          </w:p>
        </w:tc>
      </w:tr>
    </w:tbl>
    <w:p>
      <w:pPr>
        <w:spacing w:before="240" w:after="80"/>
      </w:pPr>
      <w:r>
        <w:rPr>
          <w:rFonts w:ascii="NanumSquare" w:hAnsi="NanumSquare" w:eastAsia="NanumSquare"/>
          <w:b/>
          <w:color w:val="0B2A5B"/>
          <w:sz w:val="32"/>
        </w:rPr>
        <w:t>7. 정량 목표 및 측정 방법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31"/>
        <w:gridCol w:w="2531"/>
        <w:gridCol w:w="2531"/>
        <w:gridCol w:w="2531"/>
      </w:tblGrid>
      <w:tr>
        <w:tc>
          <w:tcPr>
            <w:tcW w:type="dxa" w:w="2531"/>
            <w:shd w:fill="0B63CE"/>
            <w:vAlign w:val="center"/>
          </w:tcPr>
          <w:p>
            <w:pPr>
              <w:jc w:val="center"/>
            </w:pPr>
            <w:r/>
            <w:r>
              <w:rPr>
                <w:rFonts w:ascii="NanumBarunGothic" w:hAnsi="NanumBarunGothic"/>
                <w:b/>
                <w:color w:val="FFFFFF"/>
                <w:sz w:val="16"/>
                <w:rFonts w:ascii="NanumBarunGothic" w:hAnsi="NanumBarunGothic" w:eastAsia="NanumBarunGothic"/>
              </w:rPr>
              <w:t>지표</w:t>
            </w:r>
          </w:p>
        </w:tc>
        <w:tc>
          <w:tcPr>
            <w:tcW w:type="dxa" w:w="2531"/>
            <w:shd w:fill="0B63CE"/>
            <w:vAlign w:val="center"/>
          </w:tcPr>
          <w:p>
            <w:pPr>
              <w:jc w:val="center"/>
            </w:pPr>
            <w:r/>
            <w:r>
              <w:rPr>
                <w:rFonts w:ascii="NanumBarunGothic" w:hAnsi="NanumBarunGothic"/>
                <w:b/>
                <w:color w:val="FFFFFF"/>
                <w:sz w:val="16"/>
                <w:rFonts w:ascii="NanumBarunGothic" w:hAnsi="NanumBarunGothic" w:eastAsia="NanumBarunGothic"/>
              </w:rPr>
              <w:t>목표</w:t>
            </w:r>
          </w:p>
        </w:tc>
        <w:tc>
          <w:tcPr>
            <w:tcW w:type="dxa" w:w="2531"/>
            <w:shd w:fill="0B63CE"/>
            <w:vAlign w:val="center"/>
          </w:tcPr>
          <w:p>
            <w:pPr>
              <w:jc w:val="center"/>
            </w:pPr>
            <w:r/>
            <w:r>
              <w:rPr>
                <w:rFonts w:ascii="NanumBarunGothic" w:hAnsi="NanumBarunGothic"/>
                <w:b/>
                <w:color w:val="FFFFFF"/>
                <w:sz w:val="16"/>
                <w:rFonts w:ascii="NanumBarunGothic" w:hAnsi="NanumBarunGothic" w:eastAsia="NanumBarunGothic"/>
              </w:rPr>
              <w:t>측정 방법</w:t>
            </w:r>
          </w:p>
        </w:tc>
        <w:tc>
          <w:tcPr>
            <w:tcW w:type="dxa" w:w="2531"/>
            <w:shd w:fill="0B63CE"/>
            <w:vAlign w:val="center"/>
          </w:tcPr>
          <w:p>
            <w:pPr>
              <w:jc w:val="center"/>
            </w:pPr>
            <w:r/>
            <w:r>
              <w:rPr>
                <w:rFonts w:ascii="NanumBarunGothic" w:hAnsi="NanumBarunGothic"/>
                <w:b/>
                <w:color w:val="FFFFFF"/>
                <w:sz w:val="16"/>
                <w:rFonts w:ascii="NanumBarunGothic" w:hAnsi="NanumBarunGothic" w:eastAsia="NanumBarunGothic"/>
              </w:rPr>
              <w:t>비고</w:t>
            </w:r>
          </w:p>
        </w:tc>
      </w:tr>
      <w:tr>
        <w:tc>
          <w:tcPr>
            <w:tcW w:type="dxa" w:w="2531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규제 변경 반영</w:t>
            </w:r>
          </w:p>
        </w:tc>
        <w:tc>
          <w:tcPr>
            <w:tcW w:type="dxa" w:w="2531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24시간 이내 알림/검토 큐 생성</w:t>
            </w:r>
          </w:p>
        </w:tc>
        <w:tc>
          <w:tcPr>
            <w:tcW w:type="dxa" w:w="2531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소스 변경 시각과 큐 생성 시각 비교</w:t>
            </w:r>
          </w:p>
        </w:tc>
        <w:tc>
          <w:tcPr>
            <w:tcW w:type="dxa" w:w="2531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공식 RSS/API 여부에 따라 변동</w:t>
            </w:r>
          </w:p>
        </w:tc>
      </w:tr>
      <w:tr>
        <w:tc>
          <w:tcPr>
            <w:tcW w:type="dxa" w:w="2531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초기 파싱 정확도</w:t>
            </w:r>
          </w:p>
        </w:tc>
        <w:tc>
          <w:tcPr>
            <w:tcW w:type="dxa" w:w="2531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핵심 필드 85% 이상</w:t>
            </w:r>
          </w:p>
        </w:tc>
        <w:tc>
          <w:tcPr>
            <w:tcW w:type="dxa" w:w="2531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수동 라벨링한 정답 세트와 비교</w:t>
            </w:r>
          </w:p>
        </w:tc>
        <w:tc>
          <w:tcPr>
            <w:tcW w:type="dxa" w:w="2531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표준 문서/품질 양호 문서 기준</w:t>
            </w:r>
          </w:p>
        </w:tc>
      </w:tr>
      <w:tr>
        <w:tc>
          <w:tcPr>
            <w:tcW w:type="dxa" w:w="2531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문서 정합성 검토</w:t>
            </w:r>
          </w:p>
        </w:tc>
        <w:tc>
          <w:tcPr>
            <w:tcW w:type="dxa" w:w="2531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핵심 문서 세트 10분 이내 1차 검사</w:t>
            </w:r>
          </w:p>
        </w:tc>
        <w:tc>
          <w:tcPr>
            <w:tcW w:type="dxa" w:w="2531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IFU/SRS/RMS/시험요약 샘플 기준</w:t>
            </w:r>
          </w:p>
        </w:tc>
        <w:tc>
          <w:tcPr>
            <w:tcW w:type="dxa" w:w="2531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로컬 HW에 따라 변동</w:t>
            </w:r>
          </w:p>
        </w:tc>
      </w:tr>
      <w:tr>
        <w:tc>
          <w:tcPr>
            <w:tcW w:type="dxa" w:w="2531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검토 이력 추적</w:t>
            </w:r>
          </w:p>
        </w:tc>
        <w:tc>
          <w:tcPr>
            <w:tcW w:type="dxa" w:w="2531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100% 작업 로그 생성</w:t>
            </w:r>
          </w:p>
        </w:tc>
        <w:tc>
          <w:tcPr>
            <w:tcW w:type="dxa" w:w="2531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작업 이벤트 저장 여부 검증</w:t>
            </w:r>
          </w:p>
        </w:tc>
        <w:tc>
          <w:tcPr>
            <w:tcW w:type="dxa" w:w="2531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관리자 삭제 권한 제한</w:t>
            </w:r>
          </w:p>
        </w:tc>
      </w:tr>
      <w:tr>
        <w:tc>
          <w:tcPr>
            <w:tcW w:type="dxa" w:w="2531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도입 난이도</w:t>
            </w:r>
          </w:p>
        </w:tc>
        <w:tc>
          <w:tcPr>
            <w:tcW w:type="dxa" w:w="2531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표준 패키지 1일 이내 설치</w:t>
            </w:r>
          </w:p>
        </w:tc>
        <w:tc>
          <w:tcPr>
            <w:tcW w:type="dxa" w:w="2531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체크리스트 완료 시간</w:t>
            </w:r>
          </w:p>
        </w:tc>
        <w:tc>
          <w:tcPr>
            <w:tcW w:type="dxa" w:w="2531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고객 네트워크 정책 예외 가능</w:t>
            </w:r>
          </w:p>
        </w:tc>
      </w:tr>
      <w:tr>
        <w:tc>
          <w:tcPr>
            <w:tcW w:type="dxa" w:w="2531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고객 가치</w:t>
            </w:r>
          </w:p>
        </w:tc>
        <w:tc>
          <w:tcPr>
            <w:tcW w:type="dxa" w:w="2531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문서 준비 기간 30~50% 단축 목표</w:t>
            </w:r>
          </w:p>
        </w:tc>
        <w:tc>
          <w:tcPr>
            <w:tcW w:type="dxa" w:w="2531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파일럿 전후 소요 시간 비교</w:t>
            </w:r>
          </w:p>
        </w:tc>
        <w:tc>
          <w:tcPr>
            <w:tcW w:type="dxa" w:w="2531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초기 목표, 보증 아님</w:t>
            </w:r>
          </w:p>
        </w:tc>
      </w:tr>
    </w:tbl>
    <w:p>
      <w:pPr>
        <w:spacing w:before="240" w:after="80"/>
      </w:pPr>
      <w:r>
        <w:rPr>
          <w:rFonts w:ascii="NanumSquare" w:hAnsi="NanumSquare" w:eastAsia="NanumSquare"/>
          <w:b/>
          <w:color w:val="0B2A5B"/>
          <w:sz w:val="32"/>
        </w:rPr>
        <w:t>8. 고객 여정과 사용 시나리오</w:t>
      </w:r>
    </w:p>
    <w:p>
      <w:pPr>
        <w:pStyle w:val="ListNumber"/>
        <w:spacing w:after="60"/>
      </w:pPr>
      <w:r>
        <w:rPr>
          <w:rFonts w:ascii="NanumBarunGothic" w:hAnsi="NanumBarunGothic" w:eastAsia="NanumBarunGothic"/>
          <w:color w:val="1F2937"/>
          <w:sz w:val="20"/>
        </w:rPr>
        <w:t>고객 관리자가 로컬 Docker 패키지를 설치하고, 클라우드 지식팩 동기화를 허용하는 outbound endpoint를 등록한다.</w:t>
      </w:r>
    </w:p>
    <w:p>
      <w:pPr>
        <w:pStyle w:val="ListNumber"/>
        <w:spacing w:after="60"/>
      </w:pPr>
      <w:r>
        <w:rPr>
          <w:rFonts w:ascii="NanumBarunGothic" w:hAnsi="NanumBarunGothic" w:eastAsia="NanumBarunGothic"/>
          <w:color w:val="1F2937"/>
          <w:sz w:val="20"/>
        </w:rPr>
        <w:t>RA/QA 담당자가 IFU, SRS, 위험관리 보고서, 시험성적서 요약 파일을 업로드한다.</w:t>
      </w:r>
    </w:p>
    <w:p>
      <w:pPr>
        <w:pStyle w:val="ListNumber"/>
        <w:spacing w:after="60"/>
      </w:pPr>
      <w:r>
        <w:rPr>
          <w:rFonts w:ascii="NanumBarunGothic" w:hAnsi="NanumBarunGothic" w:eastAsia="NanumBarunGothic"/>
          <w:color w:val="1F2937"/>
          <w:sz w:val="20"/>
        </w:rPr>
        <w:t>Dynamic Parser가 문서를 Unified Schema 필드로 매핑하고 신뢰도 낮은 필드는 보정 UI에 표시한다.</w:t>
      </w:r>
    </w:p>
    <w:p>
      <w:pPr>
        <w:pStyle w:val="ListNumber"/>
        <w:spacing w:after="60"/>
      </w:pPr>
      <w:r>
        <w:rPr>
          <w:rFonts w:ascii="NanumBarunGothic" w:hAnsi="NanumBarunGothic" w:eastAsia="NanumBarunGothic"/>
          <w:color w:val="1F2937"/>
          <w:sz w:val="20"/>
        </w:rPr>
        <w:t>Consistency Guardrail이 위험통제-요구사항-경고문-검증증적 연결성을 검사한다.</w:t>
      </w:r>
    </w:p>
    <w:p>
      <w:pPr>
        <w:pStyle w:val="ListNumber"/>
        <w:spacing w:after="60"/>
      </w:pPr>
      <w:r>
        <w:rPr>
          <w:rFonts w:ascii="NanumBarunGothic" w:hAnsi="NanumBarunGothic" w:eastAsia="NanumBarunGothic"/>
          <w:color w:val="1F2937"/>
          <w:sz w:val="20"/>
        </w:rPr>
        <w:t>규제 변경 이벤트가 발생하면 관련 제품군/문서 필드에 영향도 큐가 생성된다.</w:t>
      </w:r>
    </w:p>
    <w:p>
      <w:pPr>
        <w:pStyle w:val="ListNumber"/>
        <w:spacing w:after="60"/>
      </w:pPr>
      <w:r>
        <w:rPr>
          <w:rFonts w:ascii="NanumBarunGothic" w:hAnsi="NanumBarunGothic" w:eastAsia="NanumBarunGothic"/>
          <w:color w:val="1F2937"/>
          <w:sz w:val="20"/>
        </w:rPr>
        <w:t>책임자가 AI 제안과 근거 링크를 검토하고 승인/반려/수정 후 감사로그를 보관한다.</w:t>
      </w:r>
    </w:p>
    <w:p>
      <w:pPr>
        <w:pStyle w:val="ListNumber"/>
        <w:spacing w:after="60"/>
      </w:pPr>
      <w:r>
        <w:rPr>
          <w:rFonts w:ascii="NanumBarunGothic" w:hAnsi="NanumBarunGothic" w:eastAsia="NanumBarunGothic"/>
          <w:color w:val="1F2937"/>
          <w:sz w:val="20"/>
        </w:rPr>
        <w:t>검토 결과를 제출 준비용 요약, 추적성 매트릭스, 보완 요청 대응 초안으로 내보낸다.</w:t>
      </w:r>
    </w:p>
    <w:p>
      <w:pPr>
        <w:spacing w:before="240" w:after="80"/>
      </w:pPr>
      <w:r>
        <w:rPr>
          <w:rFonts w:ascii="NanumSquare" w:hAnsi="NanumSquare" w:eastAsia="NanumSquare"/>
          <w:b/>
          <w:color w:val="0B2A5B"/>
          <w:sz w:val="32"/>
        </w:rPr>
        <w:t>9. 경쟁/대안 대비 포지셔닝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31"/>
        <w:gridCol w:w="2531"/>
        <w:gridCol w:w="2531"/>
        <w:gridCol w:w="2531"/>
      </w:tblGrid>
      <w:tr>
        <w:tc>
          <w:tcPr>
            <w:tcW w:type="dxa" w:w="2531"/>
            <w:shd w:fill="0B63CE"/>
            <w:vAlign w:val="center"/>
          </w:tcPr>
          <w:p>
            <w:pPr>
              <w:jc w:val="center"/>
            </w:pPr>
            <w:r/>
            <w:r>
              <w:rPr>
                <w:rFonts w:ascii="NanumBarunGothic" w:hAnsi="NanumBarunGothic"/>
                <w:b/>
                <w:color w:val="FFFFFF"/>
                <w:sz w:val="16"/>
                <w:rFonts w:ascii="NanumBarunGothic" w:hAnsi="NanumBarunGothic" w:eastAsia="NanumBarunGothic"/>
              </w:rPr>
              <w:t>대안</w:t>
            </w:r>
          </w:p>
        </w:tc>
        <w:tc>
          <w:tcPr>
            <w:tcW w:type="dxa" w:w="2531"/>
            <w:shd w:fill="0B63CE"/>
            <w:vAlign w:val="center"/>
          </w:tcPr>
          <w:p>
            <w:pPr>
              <w:jc w:val="center"/>
            </w:pPr>
            <w:r/>
            <w:r>
              <w:rPr>
                <w:rFonts w:ascii="NanumBarunGothic" w:hAnsi="NanumBarunGothic"/>
                <w:b/>
                <w:color w:val="FFFFFF"/>
                <w:sz w:val="16"/>
                <w:rFonts w:ascii="NanumBarunGothic" w:hAnsi="NanumBarunGothic" w:eastAsia="NanumBarunGothic"/>
              </w:rPr>
              <w:t>장점</w:t>
            </w:r>
          </w:p>
        </w:tc>
        <w:tc>
          <w:tcPr>
            <w:tcW w:type="dxa" w:w="2531"/>
            <w:shd w:fill="0B63CE"/>
            <w:vAlign w:val="center"/>
          </w:tcPr>
          <w:p>
            <w:pPr>
              <w:jc w:val="center"/>
            </w:pPr>
            <w:r/>
            <w:r>
              <w:rPr>
                <w:rFonts w:ascii="NanumBarunGothic" w:hAnsi="NanumBarunGothic"/>
                <w:b/>
                <w:color w:val="FFFFFF"/>
                <w:sz w:val="16"/>
                <w:rFonts w:ascii="NanumBarunGothic" w:hAnsi="NanumBarunGothic" w:eastAsia="NanumBarunGothic"/>
              </w:rPr>
              <w:t>한계</w:t>
            </w:r>
          </w:p>
        </w:tc>
        <w:tc>
          <w:tcPr>
            <w:tcW w:type="dxa" w:w="2531"/>
            <w:shd w:fill="0B63CE"/>
            <w:vAlign w:val="center"/>
          </w:tcPr>
          <w:p>
            <w:pPr>
              <w:jc w:val="center"/>
            </w:pPr>
            <w:r/>
            <w:r>
              <w:rPr>
                <w:rFonts w:ascii="NanumBarunGothic" w:hAnsi="NanumBarunGothic"/>
                <w:b/>
                <w:color w:val="FFFFFF"/>
                <w:sz w:val="16"/>
                <w:rFonts w:ascii="NanumBarunGothic" w:hAnsi="NanumBarunGothic" w:eastAsia="NanumBarunGothic"/>
              </w:rPr>
              <w:t>본 제품 포지션</w:t>
            </w:r>
          </w:p>
        </w:tc>
      </w:tr>
      <w:tr>
        <w:tc>
          <w:tcPr>
            <w:tcW w:type="dxa" w:w="2531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전통 RA 컨설팅</w:t>
            </w:r>
          </w:p>
        </w:tc>
        <w:tc>
          <w:tcPr>
            <w:tcW w:type="dxa" w:w="2531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전문가 판단, 제출 경험</w:t>
            </w:r>
          </w:p>
        </w:tc>
        <w:tc>
          <w:tcPr>
            <w:tcW w:type="dxa" w:w="2531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비용 높고 반복 업무가 제품화되지 않음</w:t>
            </w:r>
          </w:p>
        </w:tc>
        <w:tc>
          <w:tcPr>
            <w:tcW w:type="dxa" w:w="2531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컨설팅을 보조/표준화하는 운영 플랫폼</w:t>
            </w:r>
          </w:p>
        </w:tc>
      </w:tr>
      <w:tr>
        <w:tc>
          <w:tcPr>
            <w:tcW w:type="dxa" w:w="2531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범용 문서 AI SaaS</w:t>
            </w:r>
          </w:p>
        </w:tc>
        <w:tc>
          <w:tcPr>
            <w:tcW w:type="dxa" w:w="2531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사용 편의성, 빠른 초안 생성</w:t>
            </w:r>
          </w:p>
        </w:tc>
        <w:tc>
          <w:tcPr>
            <w:tcW w:type="dxa" w:w="2531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기밀 문서 업로드 부담, 규제 추적성 부족</w:t>
            </w:r>
          </w:p>
        </w:tc>
        <w:tc>
          <w:tcPr>
            <w:tcW w:type="dxa" w:w="2531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로컬 민감 데이터 처리와 규제 근거 링크 제공</w:t>
            </w:r>
          </w:p>
        </w:tc>
      </w:tr>
      <w:tr>
        <w:tc>
          <w:tcPr>
            <w:tcW w:type="dxa" w:w="2531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사내 엑셀/체크리스트</w:t>
            </w:r>
          </w:p>
        </w:tc>
        <w:tc>
          <w:tcPr>
            <w:tcW w:type="dxa" w:w="2531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저렴하고 익숙함</w:t>
            </w:r>
          </w:p>
        </w:tc>
        <w:tc>
          <w:tcPr>
            <w:tcW w:type="dxa" w:w="2531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버전/추적성/감사로그 약함</w:t>
            </w:r>
          </w:p>
        </w:tc>
        <w:tc>
          <w:tcPr>
            <w:tcW w:type="dxa" w:w="2531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자동 추적성 그래프와 승인 워크플로</w:t>
            </w:r>
          </w:p>
        </w:tc>
      </w:tr>
      <w:tr>
        <w:tc>
          <w:tcPr>
            <w:tcW w:type="dxa" w:w="2531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대형 QMS/eQMS</w:t>
            </w:r>
          </w:p>
        </w:tc>
        <w:tc>
          <w:tcPr>
            <w:tcW w:type="dxa" w:w="2531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품질시스템 기능 풍부</w:t>
            </w:r>
          </w:p>
        </w:tc>
        <w:tc>
          <w:tcPr>
            <w:tcW w:type="dxa" w:w="2531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도입 비용/기간 높고 AI 지식팩 약함</w:t>
            </w:r>
          </w:p>
        </w:tc>
        <w:tc>
          <w:tcPr>
            <w:tcW w:type="dxa" w:w="2531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초기 품목군에 특화된 경량 하이브리드 도구</w:t>
            </w:r>
          </w:p>
        </w:tc>
      </w:tr>
    </w:tbl>
    <w:p>
      <w:pPr>
        <w:spacing w:before="240" w:after="80"/>
      </w:pPr>
      <w:r>
        <w:rPr>
          <w:rFonts w:ascii="NanumSquare" w:hAnsi="NanumSquare" w:eastAsia="NanumSquare"/>
          <w:b/>
          <w:color w:val="0B2A5B"/>
          <w:sz w:val="32"/>
        </w:rPr>
        <w:t>10. 릴리즈 우선순위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31"/>
        <w:gridCol w:w="2531"/>
        <w:gridCol w:w="2531"/>
        <w:gridCol w:w="2531"/>
      </w:tblGrid>
      <w:tr>
        <w:tc>
          <w:tcPr>
            <w:tcW w:type="dxa" w:w="2531"/>
            <w:shd w:fill="0B63CE"/>
            <w:vAlign w:val="center"/>
          </w:tcPr>
          <w:p>
            <w:pPr>
              <w:jc w:val="center"/>
            </w:pPr>
            <w:r/>
            <w:r>
              <w:rPr>
                <w:rFonts w:ascii="NanumBarunGothic" w:hAnsi="NanumBarunGothic"/>
                <w:b/>
                <w:color w:val="FFFFFF"/>
                <w:sz w:val="16"/>
                <w:rFonts w:ascii="NanumBarunGothic" w:hAnsi="NanumBarunGothic" w:eastAsia="NanumBarunGothic"/>
              </w:rPr>
              <w:t>Release</w:t>
            </w:r>
          </w:p>
        </w:tc>
        <w:tc>
          <w:tcPr>
            <w:tcW w:type="dxa" w:w="2531"/>
            <w:shd w:fill="0B63CE"/>
            <w:vAlign w:val="center"/>
          </w:tcPr>
          <w:p>
            <w:pPr>
              <w:jc w:val="center"/>
            </w:pPr>
            <w:r/>
            <w:r>
              <w:rPr>
                <w:rFonts w:ascii="NanumBarunGothic" w:hAnsi="NanumBarunGothic"/>
                <w:b/>
                <w:color w:val="FFFFFF"/>
                <w:sz w:val="16"/>
                <w:rFonts w:ascii="NanumBarunGothic" w:hAnsi="NanumBarunGothic" w:eastAsia="NanumBarunGothic"/>
              </w:rPr>
              <w:t>필수 기능</w:t>
            </w:r>
          </w:p>
        </w:tc>
        <w:tc>
          <w:tcPr>
            <w:tcW w:type="dxa" w:w="2531"/>
            <w:shd w:fill="0B63CE"/>
            <w:vAlign w:val="center"/>
          </w:tcPr>
          <w:p>
            <w:pPr>
              <w:jc w:val="center"/>
            </w:pPr>
            <w:r/>
            <w:r>
              <w:rPr>
                <w:rFonts w:ascii="NanumBarunGothic" w:hAnsi="NanumBarunGothic"/>
                <w:b/>
                <w:color w:val="FFFFFF"/>
                <w:sz w:val="16"/>
                <w:rFonts w:ascii="NanumBarunGothic" w:hAnsi="NanumBarunGothic" w:eastAsia="NanumBarunGothic"/>
              </w:rPr>
              <w:t>고객 검증 목표</w:t>
            </w:r>
          </w:p>
        </w:tc>
        <w:tc>
          <w:tcPr>
            <w:tcW w:type="dxa" w:w="2531"/>
            <w:shd w:fill="0B63CE"/>
            <w:vAlign w:val="center"/>
          </w:tcPr>
          <w:p>
            <w:pPr>
              <w:jc w:val="center"/>
            </w:pPr>
            <w:r/>
            <w:r>
              <w:rPr>
                <w:rFonts w:ascii="NanumBarunGothic" w:hAnsi="NanumBarunGothic"/>
                <w:b/>
                <w:color w:val="FFFFFF"/>
                <w:sz w:val="16"/>
                <w:rFonts w:ascii="NanumBarunGothic" w:hAnsi="NanumBarunGothic" w:eastAsia="NanumBarunGothic"/>
              </w:rPr>
              <w:t>Go/No-Go 기준</w:t>
            </w:r>
          </w:p>
        </w:tc>
      </w:tr>
      <w:tr>
        <w:tc>
          <w:tcPr>
            <w:tcW w:type="dxa" w:w="2531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MVP 0.1</w:t>
            </w:r>
          </w:p>
        </w:tc>
        <w:tc>
          <w:tcPr>
            <w:tcW w:type="dxa" w:w="2531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규제 수집기, 로컬 업로드, 기본 파서, 근거 검색</w:t>
            </w:r>
          </w:p>
        </w:tc>
        <w:tc>
          <w:tcPr>
            <w:tcW w:type="dxa" w:w="2531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문서 20세트로 파싱/검색 검증</w:t>
            </w:r>
          </w:p>
        </w:tc>
        <w:tc>
          <w:tcPr>
            <w:tcW w:type="dxa" w:w="2531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핵심 필드 추출 70%+</w:t>
            </w:r>
          </w:p>
        </w:tc>
      </w:tr>
      <w:tr>
        <w:tc>
          <w:tcPr>
            <w:tcW w:type="dxa" w:w="2531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MVP 0.5</w:t>
            </w:r>
          </w:p>
        </w:tc>
        <w:tc>
          <w:tcPr>
            <w:tcW w:type="dxa" w:w="2531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Unified Schema, 보정 UI, Traceability Graph</w:t>
            </w:r>
          </w:p>
        </w:tc>
        <w:tc>
          <w:tcPr>
            <w:tcW w:type="dxa" w:w="2531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파일럿 1~2곳 사용성 검증</w:t>
            </w:r>
          </w:p>
        </w:tc>
        <w:tc>
          <w:tcPr>
            <w:tcW w:type="dxa" w:w="2531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핵심 필드 85% 목표 근접</w:t>
            </w:r>
          </w:p>
        </w:tc>
      </w:tr>
      <w:tr>
        <w:tc>
          <w:tcPr>
            <w:tcW w:type="dxa" w:w="2531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Beta 1.0</w:t>
            </w:r>
          </w:p>
        </w:tc>
        <w:tc>
          <w:tcPr>
            <w:tcW w:type="dxa" w:w="2531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Guardrail, Impact Analyzer, Audit Export</w:t>
            </w:r>
          </w:p>
        </w:tc>
        <w:tc>
          <w:tcPr>
            <w:tcW w:type="dxa" w:w="2531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유료 파일럿 전환</w:t>
            </w:r>
          </w:p>
        </w:tc>
        <w:tc>
          <w:tcPr>
            <w:tcW w:type="dxa" w:w="2531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검토 큐와 감사로그 실사용</w:t>
            </w:r>
          </w:p>
        </w:tc>
      </w:tr>
      <w:tr>
        <w:tc>
          <w:tcPr>
            <w:tcW w:type="dxa" w:w="2531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Commercial 1.0</w:t>
            </w:r>
          </w:p>
        </w:tc>
        <w:tc>
          <w:tcPr>
            <w:tcW w:type="dxa" w:w="2531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관리자/권한, 지식팩 버전, 운영 모니터링</w:t>
            </w:r>
          </w:p>
        </w:tc>
        <w:tc>
          <w:tcPr>
            <w:tcW w:type="dxa" w:w="2531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Tier2 판매 가능</w:t>
            </w:r>
          </w:p>
        </w:tc>
        <w:tc>
          <w:tcPr>
            <w:tcW w:type="dxa" w:w="2531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1일 설치/운영 가이드 완성</w:t>
            </w:r>
          </w:p>
        </w:tc>
      </w:tr>
    </w:tbl>
    <w:p>
      <w:pPr>
        <w:spacing w:before="240" w:after="80"/>
      </w:pPr>
      <w:r>
        <w:rPr>
          <w:rFonts w:ascii="NanumSquare" w:hAnsi="NanumSquare" w:eastAsia="NanumSquare"/>
          <w:b/>
          <w:color w:val="0B2A5B"/>
          <w:sz w:val="32"/>
        </w:rPr>
        <w:t>참고 근거 및 출처</w:t>
      </w:r>
    </w:p>
    <w:p>
      <w:pPr>
        <w:spacing w:before="0" w:after="80"/>
      </w:pPr>
      <w:r>
        <w:rPr>
          <w:rFonts w:ascii="NanumBarunGothic" w:hAnsi="NanumBarunGothic" w:eastAsia="NanumBarunGothic"/>
          <w:b w:val="0"/>
          <w:color w:val="1F2937"/>
          <w:sz w:val="19"/>
        </w:rPr>
        <w:t>아래 출처는 본 문서의 규제·인프라 현실성 판단에 사용한 공식/1차 자료입니다. 실제 제출 문서 작성 시에는 해당 기관의 최신 원문과 국내 공식 번역본/고시를 재확인해야 합니다.</w:t>
      </w:r>
    </w:p>
    <w:p>
      <w:pPr>
        <w:spacing w:after="40"/>
      </w:pPr>
      <w:r>
        <w:rPr>
          <w:rFonts w:ascii="NanumBarunGothic" w:hAnsi="NanumBarunGothic" w:eastAsia="NanumBarunGothic"/>
          <w:b/>
          <w:color w:val="0B2A5B"/>
          <w:sz w:val="17"/>
        </w:rPr>
        <w:t xml:space="preserve">[1] FDA, Overview of Device Regulation: </w:t>
      </w:r>
      <w:r>
        <w:rPr>
          <w:rFonts w:ascii="NanumBarunGothic" w:hAnsi="NanumBarunGothic" w:eastAsia="NanumBarunGothic"/>
          <w:color w:val="2563EB"/>
          <w:sz w:val="16"/>
        </w:rPr>
        <w:t>https://www.fda.gov/medical-devices/device-advice-comprehensive-regulatory-assistance/overview-device-regulation</w:t>
      </w:r>
    </w:p>
    <w:p>
      <w:pPr>
        <w:spacing w:after="40"/>
      </w:pPr>
      <w:r>
        <w:rPr>
          <w:rFonts w:ascii="NanumBarunGothic" w:hAnsi="NanumBarunGothic" w:eastAsia="NanumBarunGothic"/>
          <w:b/>
          <w:color w:val="0B2A5B"/>
          <w:sz w:val="17"/>
        </w:rPr>
        <w:t xml:space="preserve">[2] FDA, Cybersecurity in Medical Devices: Quality Management System Considerations and Content of Premarket Submissions: </w:t>
      </w:r>
      <w:r>
        <w:rPr>
          <w:rFonts w:ascii="NanumBarunGothic" w:hAnsi="NanumBarunGothic" w:eastAsia="NanumBarunGothic"/>
          <w:color w:val="2563EB"/>
          <w:sz w:val="16"/>
        </w:rPr>
        <w:t>https://www.fda.gov/regulatory-information/search-fda-guidance-documents/cybersecurity-medical-devices-quality-management-system-considerations-and-content-premarket</w:t>
      </w:r>
    </w:p>
    <w:p>
      <w:pPr>
        <w:spacing w:after="40"/>
      </w:pPr>
      <w:r>
        <w:rPr>
          <w:rFonts w:ascii="NanumBarunGothic" w:hAnsi="NanumBarunGothic" w:eastAsia="NanumBarunGothic"/>
          <w:b/>
          <w:color w:val="0B2A5B"/>
          <w:sz w:val="17"/>
        </w:rPr>
        <w:t xml:space="preserve">[3] EUR-Lex, Regulation (EU) 2017/745 on medical devices: </w:t>
      </w:r>
      <w:r>
        <w:rPr>
          <w:rFonts w:ascii="NanumBarunGothic" w:hAnsi="NanumBarunGothic" w:eastAsia="NanumBarunGothic"/>
          <w:color w:val="2563EB"/>
          <w:sz w:val="16"/>
        </w:rPr>
        <w:t>https://eur-lex.europa.eu/eli/reg/2017/745/oj/eng</w:t>
      </w:r>
    </w:p>
    <w:p>
      <w:pPr>
        <w:spacing w:after="40"/>
      </w:pPr>
      <w:r>
        <w:rPr>
          <w:rFonts w:ascii="NanumBarunGothic" w:hAnsi="NanumBarunGothic" w:eastAsia="NanumBarunGothic"/>
          <w:b/>
          <w:color w:val="0B2A5B"/>
          <w:sz w:val="17"/>
        </w:rPr>
        <w:t xml:space="preserve">[4] European Commission, Medical Devices Sector / EUDAMED: </w:t>
      </w:r>
      <w:r>
        <w:rPr>
          <w:rFonts w:ascii="NanumBarunGothic" w:hAnsi="NanumBarunGothic" w:eastAsia="NanumBarunGothic"/>
          <w:color w:val="2563EB"/>
          <w:sz w:val="16"/>
        </w:rPr>
        <w:t>https://health.ec.europa.eu/medical-devices-sector_en</w:t>
      </w:r>
    </w:p>
    <w:p>
      <w:pPr>
        <w:spacing w:after="40"/>
      </w:pPr>
      <w:r>
        <w:rPr>
          <w:rFonts w:ascii="NanumBarunGothic" w:hAnsi="NanumBarunGothic" w:eastAsia="NanumBarunGothic"/>
          <w:b/>
          <w:color w:val="0B2A5B"/>
          <w:sz w:val="17"/>
        </w:rPr>
        <w:t xml:space="preserve">[5] MFDS, Medical Device Regulations / Enforcement Rule resources: </w:t>
      </w:r>
      <w:r>
        <w:rPr>
          <w:rFonts w:ascii="NanumBarunGothic" w:hAnsi="NanumBarunGothic" w:eastAsia="NanumBarunGothic"/>
          <w:color w:val="2563EB"/>
          <w:sz w:val="16"/>
        </w:rPr>
        <w:t>https://www.mfds.go.kr/eng/brd/m_40/list.do</w:t>
      </w:r>
    </w:p>
    <w:p>
      <w:pPr>
        <w:spacing w:after="40"/>
      </w:pPr>
      <w:r>
        <w:rPr>
          <w:rFonts w:ascii="NanumBarunGothic" w:hAnsi="NanumBarunGothic" w:eastAsia="NanumBarunGothic"/>
          <w:b/>
          <w:color w:val="0B2A5B"/>
          <w:sz w:val="17"/>
        </w:rPr>
        <w:t xml:space="preserve">[6] AWS, Amazon S3 Glacier storage classes: </w:t>
      </w:r>
      <w:r>
        <w:rPr>
          <w:rFonts w:ascii="NanumBarunGothic" w:hAnsi="NanumBarunGothic" w:eastAsia="NanumBarunGothic"/>
          <w:color w:val="2563EB"/>
          <w:sz w:val="16"/>
        </w:rPr>
        <w:t>https://aws.amazon.com/s3/storage-classes/glacier/</w:t>
      </w:r>
    </w:p>
    <w:p>
      <w:pPr>
        <w:spacing w:after="40"/>
      </w:pPr>
      <w:r>
        <w:rPr>
          <w:rFonts w:ascii="NanumBarunGothic" w:hAnsi="NanumBarunGothic" w:eastAsia="NanumBarunGothic"/>
          <w:b/>
          <w:color w:val="0B2A5B"/>
          <w:sz w:val="17"/>
        </w:rPr>
        <w:t xml:space="preserve">[7] AWS, S3 Lifecycle transition documentation: </w:t>
      </w:r>
      <w:r>
        <w:rPr>
          <w:rFonts w:ascii="NanumBarunGothic" w:hAnsi="NanumBarunGothic" w:eastAsia="NanumBarunGothic"/>
          <w:color w:val="2563EB"/>
          <w:sz w:val="16"/>
        </w:rPr>
        <w:t>https://docs.aws.amazon.com/AmazonS3/latest/userguide/lifecycle-transition-general-considerations.html</w:t>
      </w:r>
    </w:p>
    <w:p>
      <w:pPr>
        <w:spacing w:after="40"/>
      </w:pPr>
      <w:r>
        <w:rPr>
          <w:rFonts w:ascii="NanumBarunGothic" w:hAnsi="NanumBarunGothic" w:eastAsia="NanumBarunGothic"/>
          <w:b/>
          <w:color w:val="0B2A5B"/>
          <w:sz w:val="17"/>
        </w:rPr>
        <w:t xml:space="preserve">[8] AWS, AWS Budgets cost notifications: </w:t>
      </w:r>
      <w:r>
        <w:rPr>
          <w:rFonts w:ascii="NanumBarunGothic" w:hAnsi="NanumBarunGothic" w:eastAsia="NanumBarunGothic"/>
          <w:color w:val="2563EB"/>
          <w:sz w:val="16"/>
        </w:rPr>
        <w:t>https://docs.aws.amazon.com/cost-management/latest/userguide/budgets-managing-costs.html</w:t>
      </w:r>
    </w:p>
    <w:p>
      <w:pPr>
        <w:spacing w:after="40"/>
      </w:pPr>
      <w:r>
        <w:rPr>
          <w:rFonts w:ascii="NanumBarunGothic" w:hAnsi="NanumBarunGothic" w:eastAsia="NanumBarunGothic"/>
          <w:b/>
          <w:color w:val="0B2A5B"/>
          <w:sz w:val="17"/>
        </w:rPr>
        <w:t xml:space="preserve">[9] pgvector, open-source vector similarity search for PostgreSQL: </w:t>
      </w:r>
      <w:r>
        <w:rPr>
          <w:rFonts w:ascii="NanumBarunGothic" w:hAnsi="NanumBarunGothic" w:eastAsia="NanumBarunGothic"/>
          <w:color w:val="2563EB"/>
          <w:sz w:val="16"/>
        </w:rPr>
        <w:t>https://github.com/pgvector/pgvector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936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BarunGothic" w:hAnsi="NanumBarunGothic" w:eastAsia="NanumBarunGothic"/>
        <w:color w:val="6B7280"/>
        <w:sz w:val="16"/>
      </w:rPr>
      <w:t>Confidential · 2026-06-02 · 실구축 중심 문서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anumSquare" w:hAnsi="NanumSquare" w:eastAsia="NanumSquare"/>
        <w:color w:val="6B7280"/>
        <w:sz w:val="16"/>
      </w:rPr>
      <w:t>Global Hybrid AI RA Specialist | MRD | v3.0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BarunGothic" w:hAnsi="NanumBarunGothic" w:eastAsia="NanumBarun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anumSquare" w:hAnsi="NanumSquare" w:eastAsia="NanumSquare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anumSquare" w:hAnsi="NanumSquare" w:eastAsia="NanumSquare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anumSquare" w:hAnsi="NanumSquare" w:eastAsia="NanumSquare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anumSquare" w:hAnsi="NanumSquare" w:eastAsia="NanumSquare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