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Cashion</w:t>
      </w:r>
    </w:p>
    <w:p>
      <w:pPr>
        <w:pStyle w:val="Heading1"/>
      </w:pPr>
      <w:bookmarkStart w:id="20" w:name="read-in-data"/>
      <w:r>
        <w:t xml:space="preserve">Read in data</w:t>
      </w:r>
      <w:bookmarkEnd w:id="20"/>
    </w:p>
    <w:p>
      <w:pPr>
        <w:pStyle w:val="FirstParagraph"/>
      </w:pPr>
      <w:r>
        <w:t xml:space="preserve">Our data is from…</w:t>
      </w:r>
    </w:p>
    <w:p>
      <w:pPr>
        <w:pStyle w:val="Heading2"/>
      </w:pPr>
      <w:bookmarkStart w:id="21" w:name="data-sources"/>
      <w:r>
        <w:t xml:space="preserve">Data Sources</w:t>
      </w:r>
      <w:bookmarkEnd w:id="21"/>
    </w:p>
    <w:p>
      <w:pPr>
        <w:pStyle w:val="FirstParagraph"/>
      </w:pPr>
      <w:r>
        <w:t xml:space="preserve">Data is fun.</w:t>
      </w:r>
    </w:p>
    <w:p>
      <w:pPr>
        <w:pStyle w:val="Heading3"/>
      </w:pPr>
      <w:bookmarkStart w:id="22" w:name="data-sources-really-detailed"/>
      <w:r>
        <w:t xml:space="preserve">Data sources really detailed</w:t>
      </w:r>
      <w:bookmarkEnd w:id="22"/>
    </w:p>
    <w:p>
      <w:pPr>
        <w:pStyle w:val="FirstParagraph"/>
      </w:pPr>
      <w:r>
        <w:t xml:space="preserve">Some people don’t like MSC seafood. They’re wrong</w:t>
      </w:r>
      <w:r>
        <w:t xml:space="preserve"> </w:t>
      </w:r>
      <w:r>
        <w:t xml:space="preserve">(Agnew et al. 2013)</w:t>
      </w:r>
      <w:r>
        <w:t xml:space="preserve">.</w:t>
      </w:r>
    </w:p>
    <w:p>
      <w:pPr>
        <w:pStyle w:val="Heading1"/>
      </w:pPr>
      <w:bookmarkStart w:id="23" w:name="analysis"/>
      <w:r>
        <w:t xml:space="preserve">Analysis</w:t>
      </w:r>
      <w:bookmarkEnd w:id="23"/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Figure 1: This is a plot" title="" id="1" name="Picture"/>
            <a:graphic>
              <a:graphicData uri="http://schemas.openxmlformats.org/drawingml/2006/picture">
                <pic:pic>
                  <pic:nvPicPr>
                    <pic:cNvPr descr="Untitled_files/figure-docx/fig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This is a plot</w:t>
      </w:r>
    </w:p>
    <w:p>
      <w:pPr>
        <w:pStyle w:val="BodyText"/>
      </w:pPr>
      <w:r>
        <w:t xml:space="preserve">Our results are clearly shown in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BodyText"/>
      </w:pPr>
      <w:r>
        <w:t xml:space="preserve">While we</w:t>
      </w:r>
      <w:r>
        <w:t xml:space="preserve"> </w:t>
      </w:r>
      <w:r>
        <w:rPr>
          <w:i/>
        </w:rPr>
        <w:t xml:space="preserve">expect</w:t>
      </w:r>
      <w:r>
        <w:t xml:space="preserve"> </w:t>
      </w:r>
      <w:r>
        <w:t xml:space="preserve">a value of 0 for our mean, our</w:t>
      </w:r>
      <w:r>
        <w:t xml:space="preserve"> </w:t>
      </w:r>
      <w:r>
        <w:rPr>
          <w:b/>
        </w:rPr>
        <w:t xml:space="preserve">actual mean</w:t>
      </w:r>
      <w:r>
        <w:t xml:space="preserve"> </w:t>
      </w:r>
      <w:r>
        <w:t xml:space="preserve">is -0.084109. Our unrounded mean is -0.0841088141990891.</w:t>
      </w:r>
      <w:r>
        <w:t xml:space="preserve"> </w:t>
      </w:r>
      <w:r>
        <w:t xml:space="preserve">When we don’t use toString, let’s see what happens -0.0841088.</w:t>
      </w:r>
    </w:p>
    <w:p>
      <w:pPr>
        <w:pStyle w:val="BodyText"/>
      </w:pPr>
      <w:r>
        <w:t xml:space="preserve">For more details,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r>
        <w:t xml:space="preserve">Table 1: Summary statistics of our data</w:t>
      </w:r>
    </w:p>
    <w:tbl>
      <w:tblPr>
        <w:tblStyle w:val="Table"/>
        <w:tblW w:type="pct" w:w="0.0"/>
        <w:tblLook w:firstRow="1"/>
        <w:tblCaption w:val="Table 1: Summary statistics of our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Min. :-2.39477</w:t>
            </w:r>
          </w:p>
        </w:tc>
        <w:tc>
          <w:p>
            <w:pPr>
              <w:pStyle w:val="Compact"/>
              <w:jc w:val="center"/>
            </w:pPr>
            <w:r>
              <w:t xml:space="preserve">Min. :0.000458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1st Qu.:-0.77571</w:t>
            </w:r>
          </w:p>
        </w:tc>
        <w:tc>
          <w:p>
            <w:pPr>
              <w:pStyle w:val="Compact"/>
              <w:jc w:val="center"/>
            </w:pPr>
            <w:r>
              <w:t xml:space="preserve">1st Qu.:0.067240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Median :-0.11132</w:t>
            </w:r>
          </w:p>
        </w:tc>
        <w:tc>
          <w:p>
            <w:pPr>
              <w:pStyle w:val="Compact"/>
              <w:jc w:val="center"/>
            </w:pPr>
            <w:r>
              <w:t xml:space="preserve">Median :0.455233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Mean :-0.08411</w:t>
            </w:r>
          </w:p>
        </w:tc>
        <w:tc>
          <w:p>
            <w:pPr>
              <w:pStyle w:val="Compact"/>
              <w:jc w:val="center"/>
            </w:pPr>
            <w:r>
              <w:t xml:space="preserve">Mean :0.906496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3rd Qu.: 0.55013</w:t>
            </w:r>
          </w:p>
        </w:tc>
        <w:tc>
          <w:p>
            <w:pPr>
              <w:pStyle w:val="Compact"/>
              <w:jc w:val="center"/>
            </w:pPr>
            <w:r>
              <w:t xml:space="preserve">3rd Qu.:0.972322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Max. : 2.45301</w:t>
            </w:r>
          </w:p>
        </w:tc>
        <w:tc>
          <w:p>
            <w:pPr>
              <w:pStyle w:val="Compact"/>
              <w:jc w:val="center"/>
            </w:pPr>
            <w:r>
              <w:t xml:space="preserve">Max. :6.017238</w:t>
            </w:r>
          </w:p>
        </w:tc>
      </w:tr>
    </w:tbl>
    <w:bookmarkStart w:id="28" w:name="refs"/>
    <w:bookmarkStart w:id="27" w:name="ref-Agnew2013a"/>
    <w:p>
      <w:pPr>
        <w:pStyle w:val="Bibliography"/>
      </w:pPr>
      <w:r>
        <w:t xml:space="preserve">Agnew, David J., N. L. Gutiérrez, A. Stern-Pirlot, A. D.M. Smith, C. Zimmermann, and K. Sainsbury. 2013. “Rebuttal to Froese and Proelss "Evaluation and legal assessment of certified seafood".”</w:t>
      </w:r>
      <w:r>
        <w:t xml:space="preserve"> </w:t>
      </w:r>
      <w:r>
        <w:rPr>
          <w:i/>
        </w:rPr>
        <w:t xml:space="preserve">Marine Policy</w:t>
      </w:r>
      <w:r>
        <w:t xml:space="preserve"> </w:t>
      </w:r>
      <w:r>
        <w:t xml:space="preserve">38: 551–53.</w:t>
      </w:r>
      <w:r>
        <w:t xml:space="preserve"> </w:t>
      </w:r>
      <w:hyperlink r:id="rId26">
        <w:r>
          <w:rPr>
            <w:rStyle w:val="Hyperlink"/>
          </w:rPr>
          <w:t xml:space="preserve">https://doi.org/10.1016/j.marpol.2012.07.002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6" Target="https://doi.org/10.1016/j.marpol.2012.07.0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i.org/10.1016/j.marpol.2012.07.0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Tim Cashion</dc:creator>
  <cp:keywords/>
  <dcterms:created xsi:type="dcterms:W3CDTF">2019-12-02T22:53:23Z</dcterms:created>
  <dcterms:modified xsi:type="dcterms:W3CDTF">2019-12-02T22:53:23Z</dcterms:modified>
</cp:coreProperties>
</file>