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FF0000"/>
          <w:sz w:val="24"/>
        </w:rPr>
        <w:t>{{LOGO}}</w:t>
      </w:r>
    </w:p>
    <w:p/>
    <w:p/>
    <w:p>
      <w:pPr>
        <w:jc w:val="center"/>
      </w:pPr>
      <w:r>
        <w:rPr>
          <w:b/>
          <w:color w:val="0066CC"/>
          <w:sz w:val="48"/>
        </w:rPr>
        <w:t>QUALITÄTSMANAGEMENT-HANDBUCH</w:t>
      </w:r>
    </w:p>
    <w:p/>
    <w:p>
      <w:pPr>
        <w:jc w:val="center"/>
      </w:pPr>
      <w:r>
        <w:rPr>
          <w:sz w:val="28"/>
        </w:rPr>
        <w:t>nach ISO 9001:2015</w:t>
      </w:r>
    </w:p>
    <w:p/>
    <w:p/>
    <w:p/>
    <w:p>
      <w:pPr>
        <w:jc w:val="center"/>
      </w:pPr>
      <w:r>
        <w:rPr>
          <w:sz w:val="24"/>
        </w:rPr>
        <w:t>{{COMPANY_NAME}}</w:t>
        <w:br/>
        <w:t>{{COMPANY_ADDRESS}}</w:t>
        <w:br/>
        <w:t>{{COMPANY_CITY}}, {{COMPANY_COUNTRY}}</w:t>
        <w:br/>
        <w:br/>
        <w:t>Telefon: {{CONTACT_PHONE}}</w:t>
        <w:br/>
        <w:t>E-Mail: {{CONTACT_EMAIL}}</w:t>
      </w:r>
    </w:p>
    <w:p/>
    <w:p/>
    <w:p/>
    <w:p>
      <w:pPr>
        <w:jc w:val="center"/>
      </w:pPr>
      <w:r>
        <w:rPr>
          <w:i/>
          <w:sz w:val="20"/>
        </w:rPr>
        <w:t>Version: {{DOC_VERSION}}</w:t>
        <w:br/>
        <w:t>Datum: {{DOC_DATE}}</w:t>
        <w:br/>
        <w:t>Erstellt von: {{CONTACT_PERSON}}</w:t>
        <w:br/>
        <w:t>Freigabe: {{APPROVAL_ROLE}}</w:t>
      </w:r>
    </w:p>
    <w:p>
      <w:r>
        <w:br w:type="page"/>
      </w:r>
    </w:p>
    <w:p>
      <w:pPr>
        <w:pStyle w:val="Heading1"/>
      </w:pPr>
      <w:r>
        <w:t>1. Anwendungsbereich / Kontext der Organisation</w:t>
      </w:r>
    </w:p>
    <w:p>
      <w:r>
        <w:t>Im Handbuch und in den mitgeltenden Unterlagen sind die Anforderungen der ISO 9001:2015 umgesetzt. Das Handbuch gilt für alle Bereiche der {{COMPANY_NAME}}.</w:t>
      </w:r>
    </w:p>
    <w:p/>
    <w:p>
      <w:pPr>
        <w:pStyle w:val="Heading2"/>
      </w:pPr>
      <w:r>
        <w:t>1.1 Geltungsbereich</w:t>
      </w:r>
    </w:p>
    <w:p>
      <w:r>
        <w:t>{{SCOPE_TEXT}}</w:t>
      </w:r>
    </w:p>
    <w:p/>
    <w:p>
      <w:pPr>
        <w:pStyle w:val="Heading2"/>
      </w:pPr>
      <w:r>
        <w:t>1.2 Zielgruppe / Kundenkreise</w:t>
      </w:r>
    </w:p>
    <w:p>
      <w:r>
        <w:t>{{STAKEHOLDER_CUSTOMERS}}</w:t>
      </w:r>
    </w:p>
    <w:p/>
    <w:p>
      <w:pPr>
        <w:pStyle w:val="Heading2"/>
      </w:pPr>
      <w:r>
        <w:t>1.3 Ausgelagerte Prozesse</w:t>
      </w:r>
    </w:p>
    <w:p>
      <w:r>
        <w:t>{{OUTSOURCED_PROCESS_TEXT}}</w:t>
      </w:r>
    </w:p>
    <w:p/>
    <w:p>
      <w:pPr>
        <w:pStyle w:val="Heading2"/>
      </w:pPr>
      <w:r>
        <w:t>1.4 Interessierte Parteien und deren Anforderungen</w:t>
      </w:r>
    </w:p>
    <w:p>
      <w:r>
        <w:t>Unsere wichtigsten interessierten Parteien und deren Anforderungen sind:</w:t>
      </w:r>
    </w:p>
    <w:p/>
    <w:p>
      <w:r>
        <w:rPr>
          <w:b/>
        </w:rPr>
        <w:t>Kunden und Endnutzer:</w:t>
      </w:r>
    </w:p>
    <w:p>
      <w:r>
        <w:t>Qualität und Preise der Produkte sowie Termintreue und Transparenz, Einsatz für den Klimaschutz und Energiesicherheit.</w:t>
      </w:r>
    </w:p>
    <w:p/>
    <w:p>
      <w:r>
        <w:rPr>
          <w:b/>
        </w:rPr>
        <w:t>Mitarbeiter:</w:t>
      </w:r>
    </w:p>
    <w:p>
      <w:r>
        <w:t>Gute Arbeitsumgebung, Arbeitsplatzsicherheit, Anerkennung und Vergütung, Identifizierung mit dem Umweltgedanken des Unternehmens.</w:t>
      </w:r>
    </w:p>
    <w:p/>
    <w:p>
      <w:r>
        <w:rPr>
          <w:b/>
        </w:rPr>
        <w:t>Lieferanten und Partner:</w:t>
      </w:r>
    </w:p>
    <w:p>
      <w:r>
        <w:t>Gegenseitiger Nutzen und Kontinuität, faire Geschäftsbeziehungen.</w:t>
      </w:r>
    </w:p>
    <w:p/>
    <w:p>
      <w:r>
        <w:rPr>
          <w:b/>
        </w:rPr>
        <w:t>Behörden:</w:t>
      </w:r>
    </w:p>
    <w:p>
      <w:r>
        <w:t>Einhaltung gesetzlicher und behördlicher Anforderungen.</w:t>
      </w:r>
    </w:p>
    <w:p/>
    <w:p>
      <w:r>
        <w:rPr>
          <w:b/>
        </w:rPr>
        <w:t>Gesellschafter/Eigentümer:</w:t>
      </w:r>
    </w:p>
    <w:p>
      <w:r>
        <w:t>Wirtschaftlicher Erfolg, Risikomanagement und nachhaltige Unternehmensentwicklung.</w:t>
      </w:r>
    </w:p>
    <w:p/>
    <w:p>
      <w:pPr>
        <w:pStyle w:val="Heading2"/>
      </w:pPr>
      <w:r>
        <w:t>1.5 Interne und externe Themen</w:t>
      </w:r>
    </w:p>
    <w:p>
      <w:r>
        <w:t>Aus Betrachtung des Kontextes und der Anforderungen interessierter Parteien werden interne und externe Themen bestimmt. Diese finden u.a. in der Risikoanalyse Betrachtung.</w:t>
      </w:r>
    </w:p>
    <w:p>
      <w:r>
        <w:br w:type="page"/>
      </w:r>
    </w:p>
    <w:p>
      <w:pPr>
        <w:pStyle w:val="Heading1"/>
      </w:pPr>
      <w:r>
        <w:t>2. Wir über uns</w:t>
      </w:r>
    </w:p>
    <w:p>
      <w:r>
        <w:t>{{COMPANY_NAME}} – Unser Unternehmen</w:t>
      </w:r>
    </w:p>
    <w:p/>
    <w:p>
      <w:r>
        <w:rPr>
          <w:b/>
        </w:rPr>
        <w:t>Unternehmensart:</w:t>
      </w:r>
    </w:p>
    <w:p>
      <w:r>
        <w:t>{{COMPANY_TYPE}}</w:t>
      </w:r>
    </w:p>
    <w:p/>
    <w:p>
      <w:r>
        <w:rPr>
          <w:b/>
        </w:rPr>
        <w:t>Standort:</w:t>
      </w:r>
    </w:p>
    <w:p>
      <w:r>
        <w:t>{{COMPANY_CITY}}, {{COMPANY_COUNTRY}}</w:t>
      </w:r>
    </w:p>
    <w:p/>
    <w:p>
      <w:r>
        <w:rPr>
          <w:b/>
        </w:rPr>
        <w:t>Mitarbeiter:</w:t>
      </w:r>
    </w:p>
    <w:p>
      <w:r>
        <w:t>{{EMPLOYEE_COUNT}}</w:t>
      </w:r>
    </w:p>
    <w:p/>
    <w:p>
      <w:r>
        <w:rPr>
          <w:b/>
        </w:rPr>
        <w:t>Marktregion:</w:t>
      </w:r>
    </w:p>
    <w:p>
      <w:r>
        <w:t>{{MARKET_REGION}}</w:t>
      </w:r>
    </w:p>
    <w:p/>
    <w:p/>
    <w:p>
      <w:r>
        <w:rPr>
          <w:b/>
        </w:rPr>
        <w:t>Unsere Leistungen:</w:t>
      </w:r>
    </w:p>
    <w:p>
      <w:r>
        <w:t>{{SERVICES_PRODUCTS}}</w:t>
      </w:r>
    </w:p>
    <w:p/>
    <w:p>
      <w:r>
        <w:rPr>
          <w:b/>
        </w:rPr>
        <w:t>Besonderheiten:</w:t>
      </w:r>
    </w:p>
    <w:p>
      <w:r>
        <w:t>{{SPECIAL_NOTES}}</w:t>
      </w:r>
    </w:p>
    <w:p>
      <w:r>
        <w:br w:type="page"/>
      </w:r>
    </w:p>
    <w:p>
      <w:pPr>
        <w:pStyle w:val="Heading1"/>
      </w:pPr>
      <w:r>
        <w:t>3. Unternehmenspolitik / Qualitätspolitik</w:t>
      </w:r>
    </w:p>
    <w:p>
      <w:r>
        <w:t>Die Geschäftsführung der {{COMPANY_NAME}} verpflichtet sich zur Einhaltung höchster Qualitätsstandards in allen Unternehmensbereichen.</w:t>
      </w:r>
    </w:p>
    <w:p/>
    <w:p>
      <w:r>
        <w:t>{{QUALITY_POLICY_TEXT}}</w:t>
      </w:r>
    </w:p>
    <w:p/>
    <w:p/>
    <w:p>
      <w:r>
        <w:t>Im Handbuch und in den mitgeltenden Unterlagen sind die Forderungen der ISO 9001:2015 umgesetzt. Hiermit verpflichtet sich die Geschäftsleitung zur Aufrechterhaltung, Weiterentwicklung und Verbesserung des Qualitätsmanagementsystems sowie zur Erfüllung zutreffender Anforderungen.</w:t>
      </w:r>
    </w:p>
    <w:p/>
    <w:p/>
    <w:p>
      <w:r>
        <w:rPr>
          <w:b/>
        </w:rPr>
        <w:t>Freigabe: {{APPROVAL_ROLE}}</w:t>
      </w:r>
    </w:p>
    <w:p>
      <w:r>
        <w:br w:type="page"/>
      </w:r>
    </w:p>
    <w:p>
      <w:pPr>
        <w:pStyle w:val="Heading1"/>
      </w:pPr>
      <w:r>
        <w:t>4. Ressourcen und Prozesse</w:t>
      </w:r>
    </w:p>
    <w:p>
      <w:r>
        <w:t>Für die Bereitstellung aller Ressourcen ist die Geschäftsführung verantwortlich. Als Ressourcen werden Personal, Einrichtung, finanzielle Mittel und Infrastruktur bezeichnet. Das heißt, alles was im Unternehmen benötigt wird, um die Anforderungen der interessierten Parteien umzusetzen.</w:t>
      </w:r>
    </w:p>
    <w:p/>
    <w:p>
      <w:pPr>
        <w:pStyle w:val="Heading2"/>
      </w:pPr>
      <w:r>
        <w:t>4.1 Kompetenz</w:t>
      </w:r>
    </w:p>
    <w:p>
      <w:r>
        <w:t>Die erforderlichen Kompetenzen für Tätigkeiten, die die Leistung und Wirksamkeit des Qualitätsmanagementsystems beeinflussen, sind bestimmt. Mitarbeiter werden auf Grundlage angemessener Ausbildung, Schulung oder Erfahrung eingesetzt.</w:t>
      </w:r>
    </w:p>
    <w:p/>
    <w:p>
      <w:r>
        <w:t>Unsere Mitarbeiter werden regelmäßig fortgebildet. Der Schulungsbedarf wird systematisch ermittelt und dokumentiert. Die Wirksamkeit der durchgeführten Maßnahmen wird bewertet.</w:t>
      </w:r>
    </w:p>
    <w:p/>
    <w:p>
      <w:pPr>
        <w:pStyle w:val="Heading2"/>
      </w:pPr>
      <w:r>
        <w:t>4.2 Bewusstsein</w:t>
      </w:r>
    </w:p>
    <w:p>
      <w:r>
        <w:t>Die Mitarbeiter sind sich der Bedeutung ihrer Tätigkeiten bewusst. Sie verstehen ihren Beitrag zur Qualitätspolitik, den Qualitätszielen und zur kontinuierlichen Verbesserung des QM-Systems.</w:t>
      </w:r>
    </w:p>
    <w:p/>
    <w:p>
      <w:pPr>
        <w:pStyle w:val="Heading2"/>
      </w:pPr>
      <w:r>
        <w:t>4.3 Arbeitssicherheit</w:t>
      </w:r>
    </w:p>
    <w:p>
      <w:r>
        <w:t>Die Anforderungen der Arbeitssicherheit werden durch die externe Fachkraft für Arbeitssicherheit wahrgenommen. Regelmäßige Unterweisungen und Gefährdungsbeurteilungen gewährleisten ein sicheres Arbeitsumfeld.</w:t>
      </w:r>
    </w:p>
    <w:p/>
    <w:p>
      <w:pPr>
        <w:pStyle w:val="Heading2"/>
      </w:pPr>
      <w:r>
        <w:t>4.4 Wissen der Organisation</w:t>
      </w:r>
    </w:p>
    <w:p>
      <w:r>
        <w:t>Das für die Durchführung der Prozesse erforderliche Wissen ist bestimmt. Durch Dokumentation der Prozesse, regelmäßige Schulungen und einen kontinuierlichen Wissensaustausch wird dieses Wissen aufrechterhalten und zur Verfügung gestellt.</w:t>
      </w:r>
    </w:p>
    <w:p>
      <w:r>
        <w:br w:type="page"/>
      </w:r>
    </w:p>
    <w:p>
      <w:pPr>
        <w:pStyle w:val="Heading1"/>
      </w:pPr>
      <w:r>
        <w:t>5. Prozesse</w:t>
      </w:r>
    </w:p>
    <w:p>
      <w:r>
        <w:t>Unsere Prozesse gliedern sich in drei Prozessebenen auf:</w:t>
      </w:r>
    </w:p>
    <w:p/>
    <w:p>
      <w:r>
        <w:rPr>
          <w:b/>
        </w:rPr>
        <w:t>Führungsprozesse:</w:t>
      </w:r>
      <w:r>
        <w:t xml:space="preserve"> Managementbewertung, Qualitätsziele festlegen, Ressourcen bereitstellen, Kundenorientierung fördern, strategische Ausrichtung.</w:t>
      </w:r>
    </w:p>
    <w:p/>
    <w:p>
      <w:r>
        <w:rPr>
          <w:b/>
        </w:rPr>
        <w:t>Wertschöpfungsprozesse:</w:t>
      </w:r>
      <w:r>
        <w:t xml:space="preserve"> Kundenanforderungen ermitteln, Angebotserstellung, Auftragsabwicklung, Leistungserbringung, Lieferung/Versand, Kundenfeedback.</w:t>
      </w:r>
    </w:p>
    <w:p/>
    <w:p>
      <w:r>
        <w:rPr>
          <w:b/>
        </w:rPr>
        <w:t>Unterstützungsprozesse:</w:t>
      </w:r>
      <w:r>
        <w:t xml:space="preserve"> Personalmanagement, Infrastruktur bereitstellen, Dokumentenlenkung, internes Audit, Korrektur- und Verbesserungsmaßnahmen, Einkauf.</w:t>
      </w:r>
    </w:p>
    <w:p/>
    <w:p>
      <w:r>
        <w:t>Die Wechselwirkung der Prozesse wurde bestimmt und in der Prozesslandkarte dargestellt. Die Prozesslandkarte ist Bestandteil der mitgeltenden Unterlagen.</w:t>
      </w:r>
    </w:p>
    <w:p/>
    <w:p/>
    <w:p>
      <w:pPr>
        <w:pStyle w:val="Heading2"/>
      </w:pPr>
      <w:r>
        <w:t>5.1 Entwicklung und Konstruktion</w:t>
      </w:r>
    </w:p>
    <w:p>
      <w:r>
        <w:t>{{EXCLUSION_DEVELOPMENT}}</w:t>
      </w:r>
    </w:p>
    <w:p/>
    <w:p>
      <w:pPr>
        <w:pStyle w:val="Heading2"/>
      </w:pPr>
      <w:r>
        <w:t>5.2 Prüfmittelmanagement</w:t>
      </w:r>
    </w:p>
    <w:p>
      <w:r>
        <w:t>{{EXCLUSION_MEASUREMENT}}</w:t>
      </w:r>
    </w:p>
    <w:p>
      <w:r>
        <w:br w:type="page"/>
      </w:r>
    </w:p>
    <w:p>
      <w:pPr>
        <w:pStyle w:val="Heading1"/>
      </w:pPr>
      <w:r>
        <w:t>6. Verantwortungen und Befugnisse</w:t>
      </w:r>
    </w:p>
    <w:p>
      <w:r>
        <w:t>Prozessbezogene Verantwortungen und Befugnisse sind in den Teilprozessen und Verfahrensanweisungen definiert. Nachfolgend sind die wesentlichen Verantwortungen und Befugnisse der Schlüsselfunktionen aufgeführt.</w:t>
      </w:r>
    </w:p>
    <w:p/>
    <w:p>
      <w:pPr>
        <w:pStyle w:val="Heading2"/>
      </w:pPr>
      <w:r>
        <w:t>6.1 Geschäftsführung</w:t>
      </w:r>
    </w:p>
    <w:p>
      <w:r>
        <w:t>Verantwortungen und Befugnisse:</w:t>
      </w:r>
    </w:p>
    <w:p>
      <w:pPr>
        <w:pStyle w:val="ListBullet"/>
      </w:pPr>
      <w:r>
        <w:t>Unternehmensstrategie festlegen und kommunizieren</w:t>
      </w:r>
    </w:p>
    <w:p>
      <w:pPr>
        <w:pStyle w:val="ListBullet"/>
      </w:pPr>
      <w:r>
        <w:t>Investitionen planen und freigeben</w:t>
      </w:r>
    </w:p>
    <w:p>
      <w:pPr>
        <w:pStyle w:val="ListBullet"/>
      </w:pPr>
      <w:r>
        <w:t>Erstellung und Freigabe der Managementbewertung</w:t>
      </w:r>
    </w:p>
    <w:p>
      <w:pPr>
        <w:pStyle w:val="ListBullet"/>
      </w:pPr>
      <w:r>
        <w:t>Sicherstellen, dass die Prozesse die beabsichtigten Ergebnisse liefern</w:t>
      </w:r>
    </w:p>
    <w:p>
      <w:pPr>
        <w:pStyle w:val="ListBullet"/>
      </w:pPr>
      <w:r>
        <w:t>Integrität des QM-Systems sicherstellen</w:t>
      </w:r>
    </w:p>
    <w:p>
      <w:pPr>
        <w:pStyle w:val="ListBullet"/>
      </w:pPr>
      <w:r>
        <w:t>Schulungsbedarf ermitteln, genehmigen und Wirksamkeit prüfen</w:t>
      </w:r>
    </w:p>
    <w:p>
      <w:pPr>
        <w:pStyle w:val="ListBullet"/>
      </w:pPr>
      <w:r>
        <w:t>Auditprogramm freigeben (internes Audit)</w:t>
      </w:r>
    </w:p>
    <w:p>
      <w:pPr>
        <w:pStyle w:val="ListBullet"/>
      </w:pPr>
      <w:r>
        <w:t>Förderung der Kundenorientierung in allen Bereichen</w:t>
      </w:r>
    </w:p>
    <w:p>
      <w:pPr>
        <w:pStyle w:val="ListBullet"/>
      </w:pPr>
      <w:r>
        <w:t>Bewertung der Maßnahmen zur Kundenzufriedenheitsermittlung</w:t>
      </w:r>
    </w:p>
    <w:p>
      <w:pPr>
        <w:pStyle w:val="ListBullet"/>
      </w:pPr>
      <w:r>
        <w:t>Maßnahmen für die Behandlung von Reklamationen festlegen</w:t>
      </w:r>
    </w:p>
    <w:p>
      <w:pPr>
        <w:pStyle w:val="ListBullet"/>
      </w:pPr>
      <w:r>
        <w:t>Verbesserungsmaßnahmen einleiten und überwachen</w:t>
      </w:r>
    </w:p>
    <w:p>
      <w:pPr>
        <w:pStyle w:val="ListBullet"/>
      </w:pPr>
      <w:r>
        <w:t>Personalplanung und -entwicklung</w:t>
      </w:r>
    </w:p>
    <w:p>
      <w:pPr>
        <w:pStyle w:val="ListBullet"/>
      </w:pPr>
      <w:r>
        <w:t>Verträge mit Lieferanten genehmigen</w:t>
      </w:r>
    </w:p>
    <w:p>
      <w:pPr>
        <w:pStyle w:val="ListBullet"/>
      </w:pPr>
      <w:r>
        <w:t>Sicherstellen, dass Anforderungen der Norm erfüllt werden</w:t>
      </w:r>
    </w:p>
    <w:p/>
    <w:p>
      <w:pPr>
        <w:pStyle w:val="Heading2"/>
      </w:pPr>
      <w:r>
        <w:t>6.2 Qualitätsmanagementbeauftragter (QMB)</w:t>
      </w:r>
    </w:p>
    <w:p>
      <w:r>
        <w:t>{{QMB_TEXT}}</w:t>
      </w:r>
    </w:p>
    <w:p/>
    <w:p>
      <w:pPr>
        <w:pStyle w:val="Heading2"/>
      </w:pPr>
      <w:r>
        <w:t>6.3 Abteilungsleiter / Bereichsverantwortliche</w:t>
      </w:r>
    </w:p>
    <w:p>
      <w:r>
        <w:t>Verantwortungen und Befugnisse:</w:t>
      </w:r>
    </w:p>
    <w:p>
      <w:pPr>
        <w:pStyle w:val="ListBullet"/>
      </w:pPr>
      <w:r>
        <w:t>Fachlich-organisatorische Führung der Abteilung/des Bereichs</w:t>
      </w:r>
    </w:p>
    <w:p>
      <w:pPr>
        <w:pStyle w:val="ListBullet"/>
      </w:pPr>
      <w:r>
        <w:t>Personelle Führung der Mitarbeiter</w:t>
      </w:r>
    </w:p>
    <w:p>
      <w:pPr>
        <w:pStyle w:val="ListBullet"/>
      </w:pPr>
      <w:r>
        <w:t>Schnittstelle zur Geschäftsführung</w:t>
      </w:r>
    </w:p>
    <w:p>
      <w:pPr>
        <w:pStyle w:val="ListBullet"/>
      </w:pPr>
      <w:r>
        <w:t>Umsetzung des QMS in seiner Abteilung</w:t>
      </w:r>
    </w:p>
    <w:p>
      <w:pPr>
        <w:pStyle w:val="ListBullet"/>
      </w:pPr>
      <w:r>
        <w:t>Erstellen von Arbeitsanweisungen für seine Abteilung</w:t>
      </w:r>
    </w:p>
    <w:p>
      <w:pPr>
        <w:pStyle w:val="ListBullet"/>
      </w:pPr>
      <w:r>
        <w:t>Lenkung von Arbeitsvorgängen in der Abteilung</w:t>
      </w:r>
    </w:p>
    <w:p>
      <w:pPr>
        <w:pStyle w:val="ListBullet"/>
      </w:pPr>
      <w:r>
        <w:t>Ermittlung von Schulungsbedarf in seiner Abteilung</w:t>
      </w:r>
    </w:p>
    <w:p>
      <w:pPr>
        <w:pStyle w:val="ListBullet"/>
      </w:pPr>
      <w:r>
        <w:t>Freigabefunktion bei prüfenden Dokumenten</w:t>
      </w:r>
    </w:p>
    <w:p>
      <w:pPr>
        <w:pStyle w:val="ListBullet"/>
      </w:pPr>
      <w:r>
        <w:t>Sicherstellen der Prozessqualität im Verantwortungsbereich</w:t>
      </w:r>
    </w:p>
    <w:p/>
    <w:p>
      <w:pPr>
        <w:pStyle w:val="Heading2"/>
      </w:pPr>
      <w:r>
        <w:t>6.4 Mitarbeiter</w:t>
      </w:r>
    </w:p>
    <w:p>
      <w:r>
        <w:t>Verantwortungen und Befugnisse:</w:t>
      </w:r>
    </w:p>
    <w:p>
      <w:pPr>
        <w:pStyle w:val="ListBullet"/>
      </w:pPr>
      <w:r>
        <w:t>Umsetzung der Arbeitsanweisungen und Prozessvorgaben</w:t>
      </w:r>
    </w:p>
    <w:p>
      <w:pPr>
        <w:pStyle w:val="ListBullet"/>
      </w:pPr>
      <w:r>
        <w:t>Verbesserungsvorschläge einbringen</w:t>
      </w:r>
    </w:p>
    <w:p>
      <w:pPr>
        <w:pStyle w:val="ListBullet"/>
      </w:pPr>
      <w:r>
        <w:t>Schulungsbedarf anmelden</w:t>
      </w:r>
    </w:p>
    <w:p>
      <w:pPr>
        <w:pStyle w:val="ListBullet"/>
      </w:pPr>
      <w:r>
        <w:t>Eigenverantwortliches Handeln und Arbeiten im Rahmen der Befugnisse</w:t>
      </w:r>
    </w:p>
    <w:p>
      <w:pPr>
        <w:pStyle w:val="ListBullet"/>
      </w:pPr>
      <w:r>
        <w:t>Prüfende Prozesse fachgerecht durchführen und dokumentieren</w:t>
      </w:r>
    </w:p>
    <w:p>
      <w:pPr>
        <w:pStyle w:val="ListBullet"/>
      </w:pPr>
      <w:r>
        <w:t>Meldung von Abweichungen und Problemen an Vorgesetzte</w:t>
      </w:r>
    </w:p>
    <w:p>
      <w:pPr>
        <w:pStyle w:val="ListBullet"/>
      </w:pPr>
      <w:r>
        <w:t>Teilnahme an Schulungen und Unterweisungen</w:t>
      </w:r>
    </w:p>
    <w:p>
      <w:r>
        <w:br w:type="page"/>
      </w:r>
    </w:p>
    <w:p>
      <w:pPr>
        <w:pStyle w:val="Heading1"/>
      </w:pPr>
      <w:r>
        <w:t>7. Messung, Analyse und Verbesserung</w:t>
      </w:r>
    </w:p>
    <w:p>
      <w:r>
        <w:t>Die Wirksamkeit des QM-Systems wird durch verschiedene Messungen, Analysen und Verbesserungsmaßnahmen überwacht und kontinuierlich verbessert.</w:t>
      </w:r>
    </w:p>
    <w:p/>
    <w:p>
      <w:pPr>
        <w:pStyle w:val="Heading2"/>
      </w:pPr>
      <w:r>
        <w:t>7.1 Kundenzufriedenheit</w:t>
      </w:r>
    </w:p>
    <w:p>
      <w:r>
        <w:t>Die Kundenzufriedenheit wird als ein Maß für die Leistung des QM-Systems systematisch erfasst und bewertet. Die Ermittlung erfolgt durch:</w:t>
      </w:r>
    </w:p>
    <w:p>
      <w:pPr>
        <w:pStyle w:val="ListBullet"/>
      </w:pPr>
      <w:r>
        <w:t>Direkte Kundenbefragungen (mindestens jährlich)</w:t>
      </w:r>
    </w:p>
    <w:p>
      <w:pPr>
        <w:pStyle w:val="ListBullet"/>
      </w:pPr>
      <w:r>
        <w:t>Auswertung von Reklamationen und Beschwerden</w:t>
      </w:r>
    </w:p>
    <w:p>
      <w:pPr>
        <w:pStyle w:val="ListBullet"/>
      </w:pPr>
      <w:r>
        <w:t>Analyse von Kundenfeedback bei Projektabschlüssen</w:t>
      </w:r>
    </w:p>
    <w:p>
      <w:pPr>
        <w:pStyle w:val="ListBullet"/>
      </w:pPr>
      <w:r>
        <w:t>Messung von Liefertreue und Qualitätskennzahlen</w:t>
      </w:r>
    </w:p>
    <w:p>
      <w:pPr>
        <w:pStyle w:val="ListBullet"/>
      </w:pPr>
      <w:r>
        <w:t>Bewertung der Kundenkommunikation und -betreuung</w:t>
      </w:r>
    </w:p>
    <w:p>
      <w:pPr>
        <w:pStyle w:val="ListBullet"/>
      </w:pPr>
      <w:r>
        <w:t>Analyse von Folgeaufträgen und Kundenbeziehungen</w:t>
      </w:r>
    </w:p>
    <w:p/>
    <w:p>
      <w:r>
        <w:t>Die Ergebnisse werden in der Managementbewertung analysiert und Maßnahmen zur Verbesserung der Kundenzufriedenheit abgeleitet und umgesetzt.</w:t>
      </w:r>
    </w:p>
    <w:p/>
    <w:p>
      <w:pPr>
        <w:pStyle w:val="Heading2"/>
      </w:pPr>
      <w:r>
        <w:t>7.2 Interne Audits</w:t>
      </w:r>
    </w:p>
    <w:p>
      <w:r>
        <w:t>Interne Audits werden gemäß Auditprogramm in geplanten Abständen durchgeführt, um festzustellen, ob das QM-System:</w:t>
      </w:r>
    </w:p>
    <w:p>
      <w:pPr>
        <w:pStyle w:val="ListBullet"/>
      </w:pPr>
      <w:r>
        <w:t>den Anforderungen der ISO 9001:2015 entspricht</w:t>
      </w:r>
    </w:p>
    <w:p>
      <w:pPr>
        <w:pStyle w:val="ListBullet"/>
      </w:pPr>
      <w:r>
        <w:t>den eigenen Anforderungen der Organisation entspricht</w:t>
      </w:r>
    </w:p>
    <w:p>
      <w:pPr>
        <w:pStyle w:val="ListBullet"/>
      </w:pPr>
      <w:r>
        <w:t>wirksam verwirklicht und aufrechterhalten wird</w:t>
      </w:r>
    </w:p>
    <w:p/>
    <w:p>
      <w:r>
        <w:t>Das Auditprogramm berücksichtigt:</w:t>
      </w:r>
    </w:p>
    <w:p>
      <w:pPr>
        <w:pStyle w:val="ListBullet"/>
      </w:pPr>
      <w:r>
        <w:t>Wichtigkeit der Prozesse und Bereiche</w:t>
      </w:r>
    </w:p>
    <w:p>
      <w:pPr>
        <w:pStyle w:val="ListBullet"/>
      </w:pPr>
      <w:r>
        <w:t>Änderungen mit Auswirkung auf die Organisation</w:t>
      </w:r>
    </w:p>
    <w:p>
      <w:pPr>
        <w:pStyle w:val="ListBullet"/>
      </w:pPr>
      <w:r>
        <w:t>Ergebnisse vorheriger Audits</w:t>
      </w:r>
    </w:p>
    <w:p>
      <w:pPr>
        <w:pStyle w:val="ListBullet"/>
      </w:pPr>
      <w:r>
        <w:t>Risiken und Chancen</w:t>
      </w:r>
    </w:p>
    <w:p>
      <w:pPr>
        <w:pStyle w:val="ListBullet"/>
      </w:pPr>
      <w:r>
        <w:t>Kundenfeedback und Reklamationen</w:t>
      </w:r>
    </w:p>
    <w:p/>
    <w:p>
      <w:r>
        <w:t>Auditoren sind unabhängig vom zu auditierenden Bereich. Festgestellte Abweichungen werden dokumentiert, Ursachen analysiert und Korrekturmaßnahmen eingeleitet. Die Wirksamkeit der Maßnahmen wird überprüft und dokumentiert.</w:t>
      </w:r>
    </w:p>
    <w:p/>
    <w:p>
      <w:pPr>
        <w:pStyle w:val="Heading2"/>
      </w:pPr>
      <w:r>
        <w:t>7.3 Managementbewertung</w:t>
      </w:r>
    </w:p>
    <w:p>
      <w:r>
        <w:t>Die oberste Leitung bewertet das QM-System in geplanten Abständen (mindestens jährlich), um dessen fortdauernde Eignung, Angemessenheit, Wirksamkeit und Ausrichtung an der strategischen Ausrichtung der Organisation sicherzustellen.</w:t>
      </w:r>
    </w:p>
    <w:p/>
    <w:p>
      <w:r>
        <w:rPr>
          <w:b/>
        </w:rPr>
        <w:t>Eingaben für die Managementbewertung:</w:t>
      </w:r>
    </w:p>
    <w:p>
      <w:pPr>
        <w:pStyle w:val="ListBullet"/>
      </w:pPr>
      <w:r>
        <w:t>Status von Maßnahmen vorheriger Managementbewertungen</w:t>
      </w:r>
    </w:p>
    <w:p>
      <w:pPr>
        <w:pStyle w:val="ListBullet"/>
      </w:pPr>
      <w:r>
        <w:t>Änderungen bei externen und internen Themen, die für das QM-System relevant sind</w:t>
      </w:r>
    </w:p>
    <w:p>
      <w:pPr>
        <w:pStyle w:val="ListBullet"/>
      </w:pPr>
      <w:r>
        <w:t>Informationen über die Leistung und Wirksamkeit des QM-Systems, einschließlich Trends bei:</w:t>
      </w:r>
    </w:p>
    <w:p>
      <w:pPr>
        <w:pStyle w:val="ListBullet"/>
      </w:pPr>
      <w:r>
        <w:t xml:space="preserve">  • Kundenzufriedenheit und Rückmeldungen von relevanten interessierten Parteien</w:t>
      </w:r>
    </w:p>
    <w:p>
      <w:pPr>
        <w:pStyle w:val="ListBullet"/>
      </w:pPr>
      <w:r>
        <w:t xml:space="preserve">  • Ausmaß, in dem Qualitätsziele erreicht wurden</w:t>
      </w:r>
    </w:p>
    <w:p>
      <w:pPr>
        <w:pStyle w:val="ListBullet"/>
      </w:pPr>
      <w:r>
        <w:t xml:space="preserve">  • Prozessleistung und Konformität von Produkten und Dienstleistungen</w:t>
      </w:r>
    </w:p>
    <w:p>
      <w:pPr>
        <w:pStyle w:val="ListBullet"/>
      </w:pPr>
      <w:r>
        <w:t xml:space="preserve">  • Nichtkonformitäten und Korrekturmaßnahmen</w:t>
      </w:r>
    </w:p>
    <w:p>
      <w:pPr>
        <w:pStyle w:val="ListBullet"/>
      </w:pPr>
      <w:r>
        <w:t xml:space="preserve">  • Ergebnisse von Überwachung und Messung</w:t>
      </w:r>
    </w:p>
    <w:p>
      <w:pPr>
        <w:pStyle w:val="ListBullet"/>
      </w:pPr>
      <w:r>
        <w:t xml:space="preserve">  • Auditergebnisse</w:t>
      </w:r>
    </w:p>
    <w:p>
      <w:pPr>
        <w:pStyle w:val="ListBullet"/>
      </w:pPr>
      <w:r>
        <w:t xml:space="preserve">  • Leistung externer Anbieter</w:t>
      </w:r>
    </w:p>
    <w:p>
      <w:pPr>
        <w:pStyle w:val="ListBullet"/>
      </w:pPr>
      <w:r>
        <w:t>Angemessenheit der Ressourcen</w:t>
      </w:r>
    </w:p>
    <w:p>
      <w:pPr>
        <w:pStyle w:val="ListBullet"/>
      </w:pPr>
      <w:r>
        <w:t>Wirksamkeit der Maßnahmen zum Umgang mit Risiken und Chancen</w:t>
      </w:r>
    </w:p>
    <w:p>
      <w:pPr>
        <w:pStyle w:val="ListBullet"/>
      </w:pPr>
      <w:r>
        <w:t>Chancen zur Verbesserung</w:t>
      </w:r>
    </w:p>
    <w:p/>
    <w:p>
      <w:r>
        <w:rPr>
          <w:b/>
        </w:rPr>
        <w:t>Ergebnisse der Managementbewertung:</w:t>
      </w:r>
    </w:p>
    <w:p>
      <w:pPr>
        <w:pStyle w:val="ListBullet"/>
      </w:pPr>
      <w:r>
        <w:t>Chancen zur Verbesserung</w:t>
      </w:r>
    </w:p>
    <w:p>
      <w:pPr>
        <w:pStyle w:val="ListBullet"/>
      </w:pPr>
      <w:r>
        <w:t>Jeglicher Änderungsbedarf am QM-System</w:t>
      </w:r>
    </w:p>
    <w:p>
      <w:pPr>
        <w:pStyle w:val="ListBullet"/>
      </w:pPr>
      <w:r>
        <w:t>Ressourcenbedarf</w:t>
      </w:r>
    </w:p>
    <w:p>
      <w:pPr>
        <w:pStyle w:val="ListBullet"/>
      </w:pPr>
      <w:r>
        <w:t>Maßnahmen zur Verbesserung der Kundenzufriedenheit</w:t>
      </w:r>
    </w:p>
    <w:p/>
    <w:p>
      <w:pPr>
        <w:pStyle w:val="Heading2"/>
      </w:pPr>
      <w:r>
        <w:t>7.4 Kontinuierliche Verbesserung</w:t>
      </w:r>
    </w:p>
    <w:p>
      <w:r>
        <w:t>Kontinuierliche Verbesserung ist integraler Bestandteil unseres QM-Systems. Die Organisation verbessert fortlaufend die Eignung, Angemessenheit und Wirksamkeit des QM-Systems.</w:t>
      </w:r>
    </w:p>
    <w:p/>
    <w:p>
      <w:r>
        <w:t>Verbesserungen werden initiiert durch:</w:t>
      </w:r>
    </w:p>
    <w:p>
      <w:pPr>
        <w:pStyle w:val="ListBullet"/>
      </w:pPr>
      <w:r>
        <w:t>Mitarbeitervorschläge und Verbesserungsideen</w:t>
      </w:r>
    </w:p>
    <w:p>
      <w:pPr>
        <w:pStyle w:val="ListBullet"/>
      </w:pPr>
      <w:r>
        <w:t>Auditergebnisse (intern und extern)</w:t>
      </w:r>
    </w:p>
    <w:p>
      <w:pPr>
        <w:pStyle w:val="ListBullet"/>
      </w:pPr>
      <w:r>
        <w:t>Reklamationsanalysen und Kundenrückmeldungen</w:t>
      </w:r>
    </w:p>
    <w:p>
      <w:pPr>
        <w:pStyle w:val="ListBullet"/>
      </w:pPr>
      <w:r>
        <w:t>Kennzahlenauswertungen und Trendanalysen</w:t>
      </w:r>
    </w:p>
    <w:p>
      <w:pPr>
        <w:pStyle w:val="ListBullet"/>
      </w:pPr>
      <w:r>
        <w:t>Managementbewertungen</w:t>
      </w:r>
    </w:p>
    <w:p>
      <w:pPr>
        <w:pStyle w:val="ListBullet"/>
      </w:pPr>
      <w:r>
        <w:t>Prozessbewertungen</w:t>
      </w:r>
    </w:p>
    <w:p>
      <w:pPr>
        <w:pStyle w:val="ListBullet"/>
      </w:pPr>
      <w:r>
        <w:t>Benchmarking und Best Practices</w:t>
      </w:r>
    </w:p>
    <w:p/>
    <w:p>
      <w:r>
        <w:t>Jede Verbesserungsmaßnahme wird dokumentiert mit: Beschreibung des Problems oder der Chance, Ursachenanalyse (soweit zutreffend), geplante Maßnahme, Verantwortlicher und Termin, sowie Wirksamkeitsprüfung nach Umsetzung.</w:t>
      </w:r>
    </w:p>
    <w:p>
      <w:r>
        <w:br w:type="page"/>
      </w:r>
    </w:p>
    <w:p>
      <w:pPr>
        <w:pStyle w:val="Heading1"/>
      </w:pPr>
      <w:r>
        <w:t>8. Mitgeltende Unterlagen / Inhaltsverzeichnis</w:t>
      </w:r>
    </w:p>
    <w:p>
      <w:r>
        <w:t>Das Qualitätsmanagementsystem der {{COMPANY_NAME}} besteht aus folgenden dokumentierten Informationen:</w:t>
      </w:r>
    </w:p>
    <w:p/>
    <w:p>
      <w:r>
        <w:rPr>
          <w:b/>
        </w:rPr>
        <w:t xml:space="preserve">Legende: </w:t>
      </w:r>
      <w:r>
        <w:t>VA = Verfahrensanweisung, AA = Arbeitsanweisung, FB = Formblatt, PB = Prozessbeschreibung</w:t>
      </w:r>
    </w:p>
    <w:p/>
    <w:tbl>
      <w:tblPr>
        <w:tblStyle w:val="LightGrid-Accent1"/>
        <w:tblW w:type="auto" w:w="0"/>
        <w:tblLayout w:type="fixed"/>
        <w:tblLook w:firstColumn="1" w:firstRow="1" w:lastColumn="0" w:lastRow="0" w:noHBand="0" w:noVBand="1" w:val="04A0"/>
      </w:tblPr>
      <w:tblGrid>
        <w:gridCol w:w="2880"/>
        <w:gridCol w:w="2880"/>
        <w:gridCol w:w="2880"/>
      </w:tblGrid>
      <w:tr>
        <w:tc>
          <w:tcPr>
            <w:tcW w:type="dxa" w:w="3600"/>
          </w:tcPr>
          <w:p>
            <w:pPr>
              <w:jc w:val="center"/>
            </w:pPr>
            <w:r>
              <w:rPr>
                <w:b/>
                <w:sz w:val="20"/>
              </w:rPr>
              <w:t>Dokument</w:t>
            </w:r>
          </w:p>
        </w:tc>
        <w:tc>
          <w:tcPr>
            <w:tcW w:type="dxa" w:w="4320"/>
          </w:tcPr>
          <w:p>
            <w:pPr>
              <w:jc w:val="center"/>
            </w:pPr>
            <w:r>
              <w:rPr>
                <w:b/>
                <w:sz w:val="20"/>
              </w:rPr>
              <w:t>Beschreibung</w:t>
            </w:r>
          </w:p>
        </w:tc>
        <w:tc>
          <w:tcPr>
            <w:tcW w:type="dxa" w:w="1728"/>
          </w:tcPr>
          <w:p>
            <w:pPr>
              <w:jc w:val="center"/>
            </w:pPr>
            <w:r>
              <w:rPr>
                <w:b/>
                <w:sz w:val="20"/>
              </w:rPr>
              <w:t>Verantwortlich</w:t>
            </w:r>
          </w:p>
        </w:tc>
      </w:tr>
      <w:tr>
        <w:tc>
          <w:tcPr>
            <w:tcW w:type="dxa" w:w="2880"/>
          </w:tcPr>
          <w:p>
            <w:r>
              <w:rPr>
                <w:sz w:val="18"/>
              </w:rPr>
              <w:t>Unternehmenshandbuch</w:t>
            </w:r>
          </w:p>
        </w:tc>
        <w:tc>
          <w:tcPr>
            <w:tcW w:type="dxa" w:w="2880"/>
          </w:tcPr>
          <w:p>
            <w:r>
              <w:rPr>
                <w:sz w:val="18"/>
              </w:rPr>
              <w:t>Dieses Dokument nach ISO 9001:2015</w:t>
            </w:r>
          </w:p>
        </w:tc>
        <w:tc>
          <w:tcPr>
            <w:tcW w:type="dxa" w:w="2880"/>
          </w:tcPr>
          <w:p>
            <w:r>
              <w:rPr>
                <w:sz w:val="18"/>
              </w:rPr>
              <w:t>GF</w:t>
            </w:r>
          </w:p>
        </w:tc>
      </w:tr>
      <w:tr>
        <w:tc>
          <w:tcPr>
            <w:tcW w:type="dxa" w:w="2880"/>
          </w:tcPr>
          <w:p>
            <w:r>
              <w:rPr>
                <w:sz w:val="18"/>
              </w:rPr>
              <w:t>VA - Verantwortungen und Befugnisse</w:t>
            </w:r>
          </w:p>
        </w:tc>
        <w:tc>
          <w:tcPr>
            <w:tcW w:type="dxa" w:w="2880"/>
          </w:tcPr>
          <w:p>
            <w:r>
              <w:rPr>
                <w:sz w:val="18"/>
              </w:rPr>
              <w:t>Rollen und Zuständigkeiten</w:t>
            </w:r>
          </w:p>
        </w:tc>
        <w:tc>
          <w:tcPr>
            <w:tcW w:type="dxa" w:w="2880"/>
          </w:tcPr>
          <w:p>
            <w:r>
              <w:rPr>
                <w:sz w:val="18"/>
              </w:rPr>
              <w:t>GF</w:t>
            </w:r>
          </w:p>
        </w:tc>
      </w:tr>
      <w:tr>
        <w:tc>
          <w:tcPr>
            <w:tcW w:type="dxa" w:w="2880"/>
          </w:tcPr>
          <w:p>
            <w:r>
              <w:rPr>
                <w:sz w:val="18"/>
              </w:rPr>
              <w:t>VA - Dokumentierte Informationen</w:t>
            </w:r>
          </w:p>
        </w:tc>
        <w:tc>
          <w:tcPr>
            <w:tcW w:type="dxa" w:w="2880"/>
          </w:tcPr>
          <w:p>
            <w:r>
              <w:rPr>
                <w:sz w:val="18"/>
              </w:rPr>
              <w:t>Dokumentenlenkung und Archivierung</w:t>
            </w:r>
          </w:p>
        </w:tc>
        <w:tc>
          <w:tcPr>
            <w:tcW w:type="dxa" w:w="2880"/>
          </w:tcPr>
          <w:p>
            <w:r>
              <w:rPr>
                <w:sz w:val="18"/>
              </w:rPr>
              <w:t>QMB</w:t>
            </w:r>
          </w:p>
        </w:tc>
      </w:tr>
      <w:tr>
        <w:tc>
          <w:tcPr>
            <w:tcW w:type="dxa" w:w="2880"/>
          </w:tcPr>
          <w:p>
            <w:r>
              <w:rPr>
                <w:sz w:val="18"/>
              </w:rPr>
              <w:t>VA - Kundenzufriedenheit</w:t>
            </w:r>
          </w:p>
        </w:tc>
        <w:tc>
          <w:tcPr>
            <w:tcW w:type="dxa" w:w="2880"/>
          </w:tcPr>
          <w:p>
            <w:r>
              <w:rPr>
                <w:sz w:val="18"/>
              </w:rPr>
              <w:t>Ermittlung und Bewertung</w:t>
            </w:r>
          </w:p>
        </w:tc>
        <w:tc>
          <w:tcPr>
            <w:tcW w:type="dxa" w:w="2880"/>
          </w:tcPr>
          <w:p>
            <w:r>
              <w:rPr>
                <w:sz w:val="18"/>
              </w:rPr>
              <w:t>QMB</w:t>
            </w:r>
          </w:p>
        </w:tc>
      </w:tr>
      <w:tr>
        <w:tc>
          <w:tcPr>
            <w:tcW w:type="dxa" w:w="2880"/>
          </w:tcPr>
          <w:p>
            <w:r>
              <w:rPr>
                <w:sz w:val="18"/>
              </w:rPr>
              <w:t>VA - Internes Audit</w:t>
            </w:r>
          </w:p>
        </w:tc>
        <w:tc>
          <w:tcPr>
            <w:tcW w:type="dxa" w:w="2880"/>
          </w:tcPr>
          <w:p>
            <w:r>
              <w:rPr>
                <w:sz w:val="18"/>
              </w:rPr>
              <w:t>Auditplanung und -durchführung</w:t>
            </w:r>
          </w:p>
        </w:tc>
        <w:tc>
          <w:tcPr>
            <w:tcW w:type="dxa" w:w="2880"/>
          </w:tcPr>
          <w:p>
            <w:r>
              <w:rPr>
                <w:sz w:val="18"/>
              </w:rPr>
              <w:t>QMB</w:t>
            </w:r>
          </w:p>
        </w:tc>
      </w:tr>
      <w:tr>
        <w:tc>
          <w:tcPr>
            <w:tcW w:type="dxa" w:w="2880"/>
          </w:tcPr>
          <w:p>
            <w:r>
              <w:rPr>
                <w:sz w:val="18"/>
              </w:rPr>
              <w:t>VA - Managementbewertung</w:t>
            </w:r>
          </w:p>
        </w:tc>
        <w:tc>
          <w:tcPr>
            <w:tcW w:type="dxa" w:w="2880"/>
          </w:tcPr>
          <w:p>
            <w:r>
              <w:rPr>
                <w:sz w:val="18"/>
              </w:rPr>
              <w:t>Bewertung des QM-Systems</w:t>
            </w:r>
          </w:p>
        </w:tc>
        <w:tc>
          <w:tcPr>
            <w:tcW w:type="dxa" w:w="2880"/>
          </w:tcPr>
          <w:p>
            <w:r>
              <w:rPr>
                <w:sz w:val="18"/>
              </w:rPr>
              <w:t>GF</w:t>
            </w:r>
          </w:p>
        </w:tc>
      </w:tr>
      <w:tr>
        <w:tc>
          <w:tcPr>
            <w:tcW w:type="dxa" w:w="2880"/>
          </w:tcPr>
          <w:p>
            <w:r>
              <w:rPr>
                <w:sz w:val="18"/>
              </w:rPr>
              <w:t>VA - Korrektur- und Verbesserungsmaßnahmen</w:t>
            </w:r>
          </w:p>
        </w:tc>
        <w:tc>
          <w:tcPr>
            <w:tcW w:type="dxa" w:w="2880"/>
          </w:tcPr>
          <w:p>
            <w:r>
              <w:rPr>
                <w:sz w:val="18"/>
              </w:rPr>
              <w:t>Maßnahmenmanagement</w:t>
            </w:r>
          </w:p>
        </w:tc>
        <w:tc>
          <w:tcPr>
            <w:tcW w:type="dxa" w:w="2880"/>
          </w:tcPr>
          <w:p>
            <w:r>
              <w:rPr>
                <w:sz w:val="18"/>
              </w:rPr>
              <w:t>QMB</w:t>
            </w:r>
          </w:p>
        </w:tc>
      </w:tr>
      <w:tr>
        <w:tc>
          <w:tcPr>
            <w:tcW w:type="dxa" w:w="2880"/>
          </w:tcPr>
          <w:p>
            <w:r>
              <w:rPr>
                <w:sz w:val="18"/>
              </w:rPr>
              <w:t>VA - Risiken und Chancen</w:t>
            </w:r>
          </w:p>
        </w:tc>
        <w:tc>
          <w:tcPr>
            <w:tcW w:type="dxa" w:w="2880"/>
          </w:tcPr>
          <w:p>
            <w:r>
              <w:rPr>
                <w:sz w:val="18"/>
              </w:rPr>
              <w:t>Risikoanalyse und -bewertung</w:t>
            </w:r>
          </w:p>
        </w:tc>
        <w:tc>
          <w:tcPr>
            <w:tcW w:type="dxa" w:w="2880"/>
          </w:tcPr>
          <w:p>
            <w:r>
              <w:rPr>
                <w:sz w:val="18"/>
              </w:rPr>
              <w:t>GF</w:t>
            </w:r>
          </w:p>
        </w:tc>
      </w:tr>
      <w:tr>
        <w:tc>
          <w:tcPr>
            <w:tcW w:type="dxa" w:w="2880"/>
          </w:tcPr>
          <w:p>
            <w:r>
              <w:rPr>
                <w:sz w:val="18"/>
              </w:rPr>
              <w:t>VA - Lieferantenmanagement</w:t>
            </w:r>
          </w:p>
        </w:tc>
        <w:tc>
          <w:tcPr>
            <w:tcW w:type="dxa" w:w="2880"/>
          </w:tcPr>
          <w:p>
            <w:r>
              <w:rPr>
                <w:sz w:val="18"/>
              </w:rPr>
              <w:t>Auswahl und Bewertung von Lieferanten</w:t>
            </w:r>
          </w:p>
        </w:tc>
        <w:tc>
          <w:tcPr>
            <w:tcW w:type="dxa" w:w="2880"/>
          </w:tcPr>
          <w:p>
            <w:r>
              <w:rPr>
                <w:sz w:val="18"/>
              </w:rPr>
              <w:t>Einkauf</w:t>
            </w:r>
          </w:p>
        </w:tc>
      </w:tr>
      <w:tr>
        <w:tc>
          <w:tcPr>
            <w:tcW w:type="dxa" w:w="2880"/>
          </w:tcPr>
          <w:p>
            <w:r>
              <w:rPr>
                <w:sz w:val="18"/>
              </w:rPr>
              <w:t>Prozesslandkarte</w:t>
            </w:r>
          </w:p>
        </w:tc>
        <w:tc>
          <w:tcPr>
            <w:tcW w:type="dxa" w:w="2880"/>
          </w:tcPr>
          <w:p>
            <w:r>
              <w:rPr>
                <w:sz w:val="18"/>
              </w:rPr>
              <w:t>Darstellung aller Prozesse</w:t>
            </w:r>
          </w:p>
        </w:tc>
        <w:tc>
          <w:tcPr>
            <w:tcW w:type="dxa" w:w="2880"/>
          </w:tcPr>
          <w:p>
            <w:r>
              <w:rPr>
                <w:sz w:val="18"/>
              </w:rPr>
              <w:t>QMB</w:t>
            </w:r>
          </w:p>
        </w:tc>
      </w:tr>
      <w:tr>
        <w:tc>
          <w:tcPr>
            <w:tcW w:type="dxa" w:w="2880"/>
          </w:tcPr>
          <w:p>
            <w:r>
              <w:rPr>
                <w:sz w:val="18"/>
              </w:rPr>
              <w:t>Organigramm</w:t>
            </w:r>
          </w:p>
        </w:tc>
        <w:tc>
          <w:tcPr>
            <w:tcW w:type="dxa" w:w="2880"/>
          </w:tcPr>
          <w:p>
            <w:r>
              <w:rPr>
                <w:sz w:val="18"/>
              </w:rPr>
              <w:t>Organisationsstruktur</w:t>
            </w:r>
          </w:p>
        </w:tc>
        <w:tc>
          <w:tcPr>
            <w:tcW w:type="dxa" w:w="2880"/>
          </w:tcPr>
          <w:p>
            <w:r>
              <w:rPr>
                <w:sz w:val="18"/>
              </w:rPr>
              <w:t>GF</w:t>
            </w:r>
          </w:p>
        </w:tc>
      </w:tr>
      <w:tr>
        <w:tc>
          <w:tcPr>
            <w:tcW w:type="dxa" w:w="2880"/>
          </w:tcPr>
          <w:p>
            <w:r>
              <w:rPr>
                <w:sz w:val="18"/>
              </w:rPr>
              <w:t>Liste Normen und Gesetze</w:t>
            </w:r>
          </w:p>
        </w:tc>
        <w:tc>
          <w:tcPr>
            <w:tcW w:type="dxa" w:w="2880"/>
          </w:tcPr>
          <w:p>
            <w:r>
              <w:rPr>
                <w:sz w:val="18"/>
              </w:rPr>
              <w:t>Rechtliche Anforderungen</w:t>
            </w:r>
          </w:p>
        </w:tc>
        <w:tc>
          <w:tcPr>
            <w:tcW w:type="dxa" w:w="2880"/>
          </w:tcPr>
          <w:p>
            <w:r>
              <w:rPr>
                <w:sz w:val="18"/>
              </w:rPr>
              <w:t>QMB</w:t>
            </w:r>
          </w:p>
        </w:tc>
      </w:tr>
      <w:tr>
        <w:tc>
          <w:tcPr>
            <w:tcW w:type="dxa" w:w="2880"/>
          </w:tcPr>
          <w:p>
            <w:r>
              <w:rPr>
                <w:sz w:val="18"/>
              </w:rPr>
              <w:t>Qualitätsziele</w:t>
            </w:r>
          </w:p>
        </w:tc>
        <w:tc>
          <w:tcPr>
            <w:tcW w:type="dxa" w:w="2880"/>
          </w:tcPr>
          <w:p>
            <w:r>
              <w:rPr>
                <w:sz w:val="18"/>
              </w:rPr>
              <w:t>Festlegung und Verfolgung</w:t>
            </w:r>
          </w:p>
        </w:tc>
        <w:tc>
          <w:tcPr>
            <w:tcW w:type="dxa" w:w="2880"/>
          </w:tcPr>
          <w:p>
            <w:r>
              <w:rPr>
                <w:sz w:val="18"/>
              </w:rPr>
              <w:t>GF</w:t>
            </w:r>
          </w:p>
        </w:tc>
      </w:tr>
    </w:tbl>
    <w:p/>
    <w:p>
      <w:r>
        <w:t>Weitere Prozessbeschreibungen, Arbeitsanweisungen und Formblätter sind in der vollständigen Dokumentenliste aufgeführt und im QM-System verfügbar.</w:t>
      </w:r>
    </w:p>
    <w:p>
      <w:r>
        <w:br w:type="page"/>
      </w:r>
    </w:p>
    <w:p>
      <w:pPr>
        <w:pStyle w:val="Heading1"/>
      </w:pPr>
      <w:r>
        <w:t>9. Lenkung dokumentierter Informationen</w:t>
      </w:r>
    </w:p>
    <w:p>
      <w:r>
        <w:t>Dokumentierte Informationen, die vom QM-System gefordert werden und die für die Wirksamkeit des QM-Systems als notwendig bestimmt wurden, werden gelenkt, um sicherzustellen, dass sie verfügbar und für die Verwendung geeignet sind.</w:t>
      </w:r>
    </w:p>
    <w:p/>
    <w:p>
      <w:pPr>
        <w:pStyle w:val="Heading2"/>
      </w:pPr>
      <w:r>
        <w:t>9.1 Erstellung und Aktualisierung</w:t>
      </w:r>
    </w:p>
    <w:p>
      <w:r>
        <w:t>Bei der Erstellung und Aktualisierung dokumentierter Informationen stellt die Organisation Folgendes sicher:</w:t>
      </w:r>
    </w:p>
    <w:p>
      <w:pPr>
        <w:pStyle w:val="ListBullet"/>
      </w:pPr>
      <w:r>
        <w:t>Geeignete Kennzeichnung und Beschreibung (z.B. Titel, Datum, Autor, Referenznummer)</w:t>
      </w:r>
    </w:p>
    <w:p>
      <w:pPr>
        <w:pStyle w:val="ListBullet"/>
      </w:pPr>
      <w:r>
        <w:t>Geeignetes Format (z.B. Sprache, Softwareversion, Grafiken) und Medium (z.B. Papier, elektronisch)</w:t>
      </w:r>
    </w:p>
    <w:p>
      <w:pPr>
        <w:pStyle w:val="ListBullet"/>
      </w:pPr>
      <w:r>
        <w:t>Geeignete Überprüfung und Genehmigung im Hinblick auf Eignung und Angemessenheit</w:t>
      </w:r>
    </w:p>
    <w:p/>
    <w:p>
      <w:r>
        <w:t>Die Lenkung aller QM-Dokumente erfolgt über die Fußzeile mit Angabe des Datums der letzten Änderung, Ersteller, Freigabe und paginierter Seitenzahl. Änderungen werden nachvollziehbar dokumentiert.</w:t>
      </w:r>
    </w:p>
    <w:p/>
    <w:p>
      <w:pPr>
        <w:pStyle w:val="Heading2"/>
      </w:pPr>
      <w:r>
        <w:t>9.2 Lenkung dokumentierter Informationen</w:t>
      </w:r>
    </w:p>
    <w:p>
      <w:r>
        <w:t>Dokumentierte Informationen werden gelenkt, um sicherzustellen, dass sie:</w:t>
      </w:r>
    </w:p>
    <w:p>
      <w:pPr>
        <w:pStyle w:val="ListBullet"/>
      </w:pPr>
      <w:r>
        <w:t>für Verwendung verfügbar und geeignet sind, wo und wann sie benötigt werden</w:t>
      </w:r>
    </w:p>
    <w:p>
      <w:pPr>
        <w:pStyle w:val="ListBullet"/>
      </w:pPr>
      <w:r>
        <w:t>angemessen geschützt sind (z.B. vor Verlust der Vertraulichkeit, unsachgemäßer Verwendung oder Verlust der Unversehrtheit)</w:t>
      </w:r>
    </w:p>
    <w:p/>
    <w:p>
      <w:r>
        <w:t>Für die Lenkung dokumentierter Informationen werden folgende Tätigkeiten behandelt:</w:t>
      </w:r>
    </w:p>
    <w:p>
      <w:pPr>
        <w:pStyle w:val="ListBullet"/>
      </w:pPr>
      <w:r>
        <w:t>Verteilung, Zugriff, Auffindung und Verwendung</w:t>
      </w:r>
    </w:p>
    <w:p>
      <w:pPr>
        <w:pStyle w:val="ListBullet"/>
      </w:pPr>
      <w:r>
        <w:t>Ablage und Erhaltung, einschließlich Erhaltung der Lesbarkeit</w:t>
      </w:r>
    </w:p>
    <w:p>
      <w:pPr>
        <w:pStyle w:val="ListBullet"/>
      </w:pPr>
      <w:r>
        <w:t>Überwachung von Änderungen (z.B. Versionskontrolle)</w:t>
      </w:r>
    </w:p>
    <w:p>
      <w:pPr>
        <w:pStyle w:val="ListBullet"/>
      </w:pPr>
      <w:r>
        <w:t>Aufbewahrung und Verfügung über den weiteren Verbleib</w:t>
      </w:r>
    </w:p>
    <w:p/>
    <w:p>
      <w:pPr>
        <w:pStyle w:val="Heading2"/>
      </w:pPr>
      <w:r>
        <w:t>9.3 Verteilung</w:t>
      </w:r>
    </w:p>
    <w:p>
      <w:r>
        <w:t>Der Ersteller oder die verantwortliche Stelle legt fest, an wen das Dokument verteilt wird. Die Verteilung erfolgt elektronisch über das zentrale Ablagesystem. Veraltete Dokumente werden gekennzeichnet oder aus dem Umlauf entfernt, um eine unbeabsichtigte Verwendung zu verhindern.</w:t>
      </w:r>
    </w:p>
    <w:p/>
    <w:p>
      <w:pPr>
        <w:pStyle w:val="Heading2"/>
      </w:pPr>
      <w:r>
        <w:t>9.4 Externe Dokumente</w:t>
      </w:r>
    </w:p>
    <w:p>
      <w:r>
        <w:t>Externe Dokumente (Normen, Gesetze, Kundenvorgaben, technische Spezifikationen) werden entsprechend ihrem Inhalt identifiziert, gelenkt und den relevanten Prozessen zugeordnet. Die Aktualität externer Dokumente wird regelmäßig überprüft und bei Bedarf aktualisiert.</w:t>
      </w:r>
    </w:p>
    <w:p/>
    <w:p>
      <w:pPr>
        <w:pStyle w:val="Heading2"/>
      </w:pPr>
      <w:r>
        <w:t>9.5 Aufbewahrung und Archivierung</w:t>
      </w:r>
    </w:p>
    <w:p>
      <w:r>
        <w:t>Aufzeichnungen werden aufbewahrt, um Nachweise für die Konformität mit Anforderungen und die wirksame Durchführung des QM-Systems bereitzustellen.</w:t>
      </w:r>
    </w:p>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3600"/>
          </w:tcPr>
          <w:p>
            <w:pPr>
              <w:jc w:val="center"/>
            </w:pPr>
            <w:r>
              <w:rPr>
                <w:b/>
                <w:sz w:val="18"/>
              </w:rPr>
              <w:t>Aufzeichnung</w:t>
            </w:r>
          </w:p>
        </w:tc>
        <w:tc>
          <w:tcPr>
            <w:tcW w:type="dxa" w:w="2160"/>
          </w:tcPr>
          <w:p>
            <w:pPr>
              <w:jc w:val="center"/>
            </w:pPr>
            <w:r>
              <w:rPr>
                <w:b/>
                <w:sz w:val="18"/>
              </w:rPr>
              <w:t>Verantwortlich</w:t>
            </w:r>
          </w:p>
        </w:tc>
        <w:tc>
          <w:tcPr>
            <w:tcW w:type="dxa" w:w="2592"/>
          </w:tcPr>
          <w:p>
            <w:pPr>
              <w:jc w:val="center"/>
            </w:pPr>
            <w:r>
              <w:rPr>
                <w:b/>
                <w:sz w:val="18"/>
              </w:rPr>
              <w:t>Ablageort</w:t>
            </w:r>
          </w:p>
        </w:tc>
        <w:tc>
          <w:tcPr>
            <w:tcW w:type="dxa" w:w="1296"/>
          </w:tcPr>
          <w:p>
            <w:pPr>
              <w:jc w:val="center"/>
            </w:pPr>
            <w:r>
              <w:rPr>
                <w:b/>
                <w:sz w:val="18"/>
              </w:rPr>
              <w:t>Aufbew. (Jahre)</w:t>
            </w:r>
          </w:p>
        </w:tc>
      </w:tr>
      <w:tr>
        <w:tc>
          <w:tcPr>
            <w:tcW w:type="dxa" w:w="2160"/>
          </w:tcPr>
          <w:p>
            <w:r>
              <w:rPr>
                <w:sz w:val="16"/>
              </w:rPr>
              <w:t>Auditberichte (intern)</w:t>
            </w:r>
          </w:p>
        </w:tc>
        <w:tc>
          <w:tcPr>
            <w:tcW w:type="dxa" w:w="2160"/>
          </w:tcPr>
          <w:p>
            <w:r>
              <w:rPr>
                <w:sz w:val="16"/>
              </w:rPr>
              <w:t>QMB</w:t>
            </w:r>
          </w:p>
        </w:tc>
        <w:tc>
          <w:tcPr>
            <w:tcW w:type="dxa" w:w="2160"/>
          </w:tcPr>
          <w:p>
            <w:r>
              <w:rPr>
                <w:sz w:val="16"/>
              </w:rPr>
              <w:t>QM-Ordner</w:t>
            </w:r>
          </w:p>
        </w:tc>
        <w:tc>
          <w:tcPr>
            <w:tcW w:type="dxa" w:w="2160"/>
          </w:tcPr>
          <w:p>
            <w:r>
              <w:rPr>
                <w:sz w:val="16"/>
              </w:rPr>
              <w:t>3</w:t>
            </w:r>
          </w:p>
        </w:tc>
      </w:tr>
      <w:tr>
        <w:tc>
          <w:tcPr>
            <w:tcW w:type="dxa" w:w="2160"/>
          </w:tcPr>
          <w:p>
            <w:r>
              <w:rPr>
                <w:sz w:val="16"/>
              </w:rPr>
              <w:t>Auditberichte (extern)</w:t>
            </w:r>
          </w:p>
        </w:tc>
        <w:tc>
          <w:tcPr>
            <w:tcW w:type="dxa" w:w="2160"/>
          </w:tcPr>
          <w:p>
            <w:r>
              <w:rPr>
                <w:sz w:val="16"/>
              </w:rPr>
              <w:t>QMB</w:t>
            </w:r>
          </w:p>
        </w:tc>
        <w:tc>
          <w:tcPr>
            <w:tcW w:type="dxa" w:w="2160"/>
          </w:tcPr>
          <w:p>
            <w:r>
              <w:rPr>
                <w:sz w:val="16"/>
              </w:rPr>
              <w:t>QM-Ordner</w:t>
            </w:r>
          </w:p>
        </w:tc>
        <w:tc>
          <w:tcPr>
            <w:tcW w:type="dxa" w:w="2160"/>
          </w:tcPr>
          <w:p>
            <w:r>
              <w:rPr>
                <w:sz w:val="16"/>
              </w:rPr>
              <w:t>5</w:t>
            </w:r>
          </w:p>
        </w:tc>
      </w:tr>
      <w:tr>
        <w:tc>
          <w:tcPr>
            <w:tcW w:type="dxa" w:w="2160"/>
          </w:tcPr>
          <w:p>
            <w:r>
              <w:rPr>
                <w:sz w:val="16"/>
              </w:rPr>
              <w:t>Managementbewertung</w:t>
            </w:r>
          </w:p>
        </w:tc>
        <w:tc>
          <w:tcPr>
            <w:tcW w:type="dxa" w:w="2160"/>
          </w:tcPr>
          <w:p>
            <w:r>
              <w:rPr>
                <w:sz w:val="16"/>
              </w:rPr>
              <w:t>GF</w:t>
            </w:r>
          </w:p>
        </w:tc>
        <w:tc>
          <w:tcPr>
            <w:tcW w:type="dxa" w:w="2160"/>
          </w:tcPr>
          <w:p>
            <w:r>
              <w:rPr>
                <w:sz w:val="16"/>
              </w:rPr>
              <w:t>QM-Ordner</w:t>
            </w:r>
          </w:p>
        </w:tc>
        <w:tc>
          <w:tcPr>
            <w:tcW w:type="dxa" w:w="2160"/>
          </w:tcPr>
          <w:p>
            <w:r>
              <w:rPr>
                <w:sz w:val="16"/>
              </w:rPr>
              <w:t>3</w:t>
            </w:r>
          </w:p>
        </w:tc>
      </w:tr>
      <w:tr>
        <w:tc>
          <w:tcPr>
            <w:tcW w:type="dxa" w:w="2160"/>
          </w:tcPr>
          <w:p>
            <w:r>
              <w:rPr>
                <w:sz w:val="16"/>
              </w:rPr>
              <w:t>Kundenzufriedenheitsanalyse</w:t>
            </w:r>
          </w:p>
        </w:tc>
        <w:tc>
          <w:tcPr>
            <w:tcW w:type="dxa" w:w="2160"/>
          </w:tcPr>
          <w:p>
            <w:r>
              <w:rPr>
                <w:sz w:val="16"/>
              </w:rPr>
              <w:t>QMB</w:t>
            </w:r>
          </w:p>
        </w:tc>
        <w:tc>
          <w:tcPr>
            <w:tcW w:type="dxa" w:w="2160"/>
          </w:tcPr>
          <w:p>
            <w:r>
              <w:rPr>
                <w:sz w:val="16"/>
              </w:rPr>
              <w:t>QM-Ordner</w:t>
            </w:r>
          </w:p>
        </w:tc>
        <w:tc>
          <w:tcPr>
            <w:tcW w:type="dxa" w:w="2160"/>
          </w:tcPr>
          <w:p>
            <w:r>
              <w:rPr>
                <w:sz w:val="16"/>
              </w:rPr>
              <w:t>3</w:t>
            </w:r>
          </w:p>
        </w:tc>
      </w:tr>
      <w:tr>
        <w:tc>
          <w:tcPr>
            <w:tcW w:type="dxa" w:w="2160"/>
          </w:tcPr>
          <w:p>
            <w:r>
              <w:rPr>
                <w:sz w:val="16"/>
              </w:rPr>
              <w:t>Schulungsnachweise</w:t>
            </w:r>
          </w:p>
        </w:tc>
        <w:tc>
          <w:tcPr>
            <w:tcW w:type="dxa" w:w="2160"/>
          </w:tcPr>
          <w:p>
            <w:r>
              <w:rPr>
                <w:sz w:val="16"/>
              </w:rPr>
              <w:t>QMB</w:t>
            </w:r>
          </w:p>
        </w:tc>
        <w:tc>
          <w:tcPr>
            <w:tcW w:type="dxa" w:w="2160"/>
          </w:tcPr>
          <w:p>
            <w:r>
              <w:rPr>
                <w:sz w:val="16"/>
              </w:rPr>
              <w:t>Personal-Ordner</w:t>
            </w:r>
          </w:p>
        </w:tc>
        <w:tc>
          <w:tcPr>
            <w:tcW w:type="dxa" w:w="2160"/>
          </w:tcPr>
          <w:p>
            <w:r>
              <w:rPr>
                <w:sz w:val="16"/>
              </w:rPr>
              <w:t>5</w:t>
            </w:r>
          </w:p>
        </w:tc>
      </w:tr>
      <w:tr>
        <w:tc>
          <w:tcPr>
            <w:tcW w:type="dxa" w:w="2160"/>
          </w:tcPr>
          <w:p>
            <w:r>
              <w:rPr>
                <w:sz w:val="16"/>
              </w:rPr>
              <w:t>Reklamationen</w:t>
            </w:r>
          </w:p>
        </w:tc>
        <w:tc>
          <w:tcPr>
            <w:tcW w:type="dxa" w:w="2160"/>
          </w:tcPr>
          <w:p>
            <w:r>
              <w:rPr>
                <w:sz w:val="16"/>
              </w:rPr>
              <w:t>QMB</w:t>
            </w:r>
          </w:p>
        </w:tc>
        <w:tc>
          <w:tcPr>
            <w:tcW w:type="dxa" w:w="2160"/>
          </w:tcPr>
          <w:p>
            <w:r>
              <w:rPr>
                <w:sz w:val="16"/>
              </w:rPr>
              <w:t>QM-Ordner</w:t>
            </w:r>
          </w:p>
        </w:tc>
        <w:tc>
          <w:tcPr>
            <w:tcW w:type="dxa" w:w="2160"/>
          </w:tcPr>
          <w:p>
            <w:r>
              <w:rPr>
                <w:sz w:val="16"/>
              </w:rPr>
              <w:t>3</w:t>
            </w:r>
          </w:p>
        </w:tc>
      </w:tr>
      <w:tr>
        <w:tc>
          <w:tcPr>
            <w:tcW w:type="dxa" w:w="2160"/>
          </w:tcPr>
          <w:p>
            <w:r>
              <w:rPr>
                <w:sz w:val="16"/>
              </w:rPr>
              <w:t>Korrekturmaßnahmen</w:t>
            </w:r>
          </w:p>
        </w:tc>
        <w:tc>
          <w:tcPr>
            <w:tcW w:type="dxa" w:w="2160"/>
          </w:tcPr>
          <w:p>
            <w:r>
              <w:rPr>
                <w:sz w:val="16"/>
              </w:rPr>
              <w:t>QMB</w:t>
            </w:r>
          </w:p>
        </w:tc>
        <w:tc>
          <w:tcPr>
            <w:tcW w:type="dxa" w:w="2160"/>
          </w:tcPr>
          <w:p>
            <w:r>
              <w:rPr>
                <w:sz w:val="16"/>
              </w:rPr>
              <w:t>QM-Ordner</w:t>
            </w:r>
          </w:p>
        </w:tc>
        <w:tc>
          <w:tcPr>
            <w:tcW w:type="dxa" w:w="2160"/>
          </w:tcPr>
          <w:p>
            <w:r>
              <w:rPr>
                <w:sz w:val="16"/>
              </w:rPr>
              <w:t>3</w:t>
            </w:r>
          </w:p>
        </w:tc>
      </w:tr>
      <w:tr>
        <w:tc>
          <w:tcPr>
            <w:tcW w:type="dxa" w:w="2160"/>
          </w:tcPr>
          <w:p>
            <w:r>
              <w:rPr>
                <w:sz w:val="16"/>
              </w:rPr>
              <w:t>Lieferantenbewertungen</w:t>
            </w:r>
          </w:p>
        </w:tc>
        <w:tc>
          <w:tcPr>
            <w:tcW w:type="dxa" w:w="2160"/>
          </w:tcPr>
          <w:p>
            <w:r>
              <w:rPr>
                <w:sz w:val="16"/>
              </w:rPr>
              <w:t>Einkauf</w:t>
            </w:r>
          </w:p>
        </w:tc>
        <w:tc>
          <w:tcPr>
            <w:tcW w:type="dxa" w:w="2160"/>
          </w:tcPr>
          <w:p>
            <w:r>
              <w:rPr>
                <w:sz w:val="16"/>
              </w:rPr>
              <w:t>QM-Ordner</w:t>
            </w:r>
          </w:p>
        </w:tc>
        <w:tc>
          <w:tcPr>
            <w:tcW w:type="dxa" w:w="2160"/>
          </w:tcPr>
          <w:p>
            <w:r>
              <w:rPr>
                <w:sz w:val="16"/>
              </w:rPr>
              <w:t>3</w:t>
            </w:r>
          </w:p>
        </w:tc>
      </w:tr>
      <w:tr>
        <w:tc>
          <w:tcPr>
            <w:tcW w:type="dxa" w:w="2160"/>
          </w:tcPr>
          <w:p>
            <w:r>
              <w:rPr>
                <w:sz w:val="16"/>
              </w:rPr>
              <w:t>Risikoanalysen</w:t>
            </w:r>
          </w:p>
        </w:tc>
        <w:tc>
          <w:tcPr>
            <w:tcW w:type="dxa" w:w="2160"/>
          </w:tcPr>
          <w:p>
            <w:r>
              <w:rPr>
                <w:sz w:val="16"/>
              </w:rPr>
              <w:t>GF</w:t>
            </w:r>
          </w:p>
        </w:tc>
        <w:tc>
          <w:tcPr>
            <w:tcW w:type="dxa" w:w="2160"/>
          </w:tcPr>
          <w:p>
            <w:r>
              <w:rPr>
                <w:sz w:val="16"/>
              </w:rPr>
              <w:t>QM-Ordner</w:t>
            </w:r>
          </w:p>
        </w:tc>
        <w:tc>
          <w:tcPr>
            <w:tcW w:type="dxa" w:w="2160"/>
          </w:tcPr>
          <w:p>
            <w:r>
              <w:rPr>
                <w:sz w:val="16"/>
              </w:rPr>
              <w:t>3</w:t>
            </w:r>
          </w:p>
        </w:tc>
      </w:tr>
      <w:tr>
        <w:tc>
          <w:tcPr>
            <w:tcW w:type="dxa" w:w="2160"/>
          </w:tcPr>
          <w:p>
            <w:r>
              <w:rPr>
                <w:sz w:val="16"/>
              </w:rPr>
              <w:t>Prüfprotokolle</w:t>
            </w:r>
          </w:p>
        </w:tc>
        <w:tc>
          <w:tcPr>
            <w:tcW w:type="dxa" w:w="2160"/>
          </w:tcPr>
          <w:p>
            <w:r>
              <w:rPr>
                <w:sz w:val="16"/>
              </w:rPr>
              <w:t>Qualität</w:t>
            </w:r>
          </w:p>
        </w:tc>
        <w:tc>
          <w:tcPr>
            <w:tcW w:type="dxa" w:w="2160"/>
          </w:tcPr>
          <w:p>
            <w:r>
              <w:rPr>
                <w:sz w:val="16"/>
              </w:rPr>
              <w:t>Ablage Produktion</w:t>
            </w:r>
          </w:p>
        </w:tc>
        <w:tc>
          <w:tcPr>
            <w:tcW w:type="dxa" w:w="2160"/>
          </w:tcPr>
          <w:p>
            <w:r>
              <w:rPr>
                <w:sz w:val="16"/>
              </w:rPr>
              <w:t>5</w:t>
            </w:r>
          </w:p>
        </w:tc>
      </w:tr>
      <w:tr>
        <w:tc>
          <w:tcPr>
            <w:tcW w:type="dxa" w:w="2160"/>
          </w:tcPr>
          <w:p>
            <w:r>
              <w:rPr>
                <w:sz w:val="16"/>
              </w:rPr>
              <w:t>Kalibrierprotokolle</w:t>
            </w:r>
          </w:p>
        </w:tc>
        <w:tc>
          <w:tcPr>
            <w:tcW w:type="dxa" w:w="2160"/>
          </w:tcPr>
          <w:p>
            <w:r>
              <w:rPr>
                <w:sz w:val="16"/>
              </w:rPr>
              <w:t>QMB</w:t>
            </w:r>
          </w:p>
        </w:tc>
        <w:tc>
          <w:tcPr>
            <w:tcW w:type="dxa" w:w="2160"/>
          </w:tcPr>
          <w:p>
            <w:r>
              <w:rPr>
                <w:sz w:val="16"/>
              </w:rPr>
              <w:t>Prüfmittelverwaltung</w:t>
            </w:r>
          </w:p>
        </w:tc>
        <w:tc>
          <w:tcPr>
            <w:tcW w:type="dxa" w:w="2160"/>
          </w:tcPr>
          <w:p>
            <w:r>
              <w:rPr>
                <w:sz w:val="16"/>
              </w:rPr>
              <w:t>5</w:t>
            </w:r>
          </w:p>
        </w:tc>
      </w:tr>
    </w:tbl>
    <w:p/>
    <w:p>
      <w:pPr>
        <w:pStyle w:val="Heading2"/>
      </w:pPr>
      <w:r>
        <w:t>9.6 Datensicherung</w:t>
      </w:r>
    </w:p>
    <w:p>
      <w:r>
        <w:t>Die Datensicherung erfolgt regelmäßig gemäß Sicherungskonzept. Elektronische Daten werden wöchentlich auf externen Speichermedien gesichert. Die Sicherungsmedien werden außerhalb des Unternehmens gelagert. Zusätzlich wird eine Cloud-Backup-Lösung eingesetzt, um die Verfügbarkeit und Wiederherstellbarkeit der Daten sicherzustellen.</w:t>
      </w:r>
    </w:p>
    <w:p>
      <w:r>
        <w:br w:type="page"/>
      </w:r>
    </w:p>
    <w:p>
      <w:pPr>
        <w:pStyle w:val="Heading1"/>
      </w:pPr>
      <w:r>
        <w:t>10. Dokumentenfreigabe und Gültigkeit</w:t>
      </w:r>
    </w:p>
    <w:p/>
    <w:p/>
    <w:tbl>
      <w:tblPr>
        <w:tblStyle w:val="LightGrid-Accent1"/>
        <w:tblW w:type="auto" w:w="0"/>
        <w:tblLayout w:type="fixed"/>
        <w:tblLook w:firstColumn="1" w:firstRow="1" w:lastColumn="0" w:lastRow="0" w:noHBand="0" w:noVBand="1" w:val="04A0"/>
      </w:tblPr>
      <w:tblGrid>
        <w:gridCol w:w="4320"/>
        <w:gridCol w:w="4320"/>
      </w:tblGrid>
      <w:tr>
        <w:tc>
          <w:tcPr>
            <w:tcW w:type="dxa" w:w="3600"/>
          </w:tcPr>
          <w:p>
            <w:r>
              <w:rPr>
                <w:b/>
                <w:sz w:val="20"/>
              </w:rPr>
              <w:t>Dokument:</w:t>
            </w:r>
          </w:p>
        </w:tc>
        <w:tc>
          <w:tcPr>
            <w:tcW w:type="dxa" w:w="5760"/>
          </w:tcPr>
          <w:p>
            <w:r>
              <w:rPr>
                <w:sz w:val="20"/>
              </w:rPr>
              <w:t>Unternehmenshandbuch nach ISO 9001:2015</w:t>
            </w:r>
          </w:p>
        </w:tc>
      </w:tr>
      <w:tr>
        <w:tc>
          <w:tcPr>
            <w:tcW w:type="dxa" w:w="3600"/>
          </w:tcPr>
          <w:p>
            <w:r>
              <w:rPr>
                <w:b/>
                <w:sz w:val="20"/>
              </w:rPr>
              <w:t>Geltungsbereich:</w:t>
            </w:r>
          </w:p>
        </w:tc>
        <w:tc>
          <w:tcPr>
            <w:tcW w:type="dxa" w:w="5760"/>
          </w:tcPr>
          <w:p>
            <w:r>
              <w:rPr>
                <w:sz w:val="20"/>
              </w:rPr>
              <w:t>{{SCOPE_TEXT}}</w:t>
            </w:r>
          </w:p>
        </w:tc>
      </w:tr>
      <w:tr>
        <w:tc>
          <w:tcPr>
            <w:tcW w:type="dxa" w:w="3600"/>
          </w:tcPr>
          <w:p>
            <w:r>
              <w:rPr>
                <w:b/>
                <w:sz w:val="20"/>
              </w:rPr>
              <w:t>Version:</w:t>
            </w:r>
          </w:p>
        </w:tc>
        <w:tc>
          <w:tcPr>
            <w:tcW w:type="dxa" w:w="5760"/>
          </w:tcPr>
          <w:p>
            <w:r>
              <w:rPr>
                <w:sz w:val="20"/>
              </w:rPr>
              <w:t>{{DOC_VERSION}}</w:t>
            </w:r>
          </w:p>
        </w:tc>
      </w:tr>
      <w:tr>
        <w:tc>
          <w:tcPr>
            <w:tcW w:type="dxa" w:w="3600"/>
          </w:tcPr>
          <w:p>
            <w:r>
              <w:rPr>
                <w:b/>
                <w:sz w:val="20"/>
              </w:rPr>
              <w:t>Stand:</w:t>
            </w:r>
          </w:p>
        </w:tc>
        <w:tc>
          <w:tcPr>
            <w:tcW w:type="dxa" w:w="5760"/>
          </w:tcPr>
          <w:p>
            <w:r>
              <w:rPr>
                <w:sz w:val="20"/>
              </w:rPr>
              <w:t>{{DOC_DATE}}</w:t>
            </w:r>
          </w:p>
        </w:tc>
      </w:tr>
      <w:tr>
        <w:tc>
          <w:tcPr>
            <w:tcW w:type="dxa" w:w="3600"/>
          </w:tcPr>
          <w:p>
            <w:r>
              <w:rPr>
                <w:b/>
                <w:sz w:val="20"/>
              </w:rPr>
              <w:t>Erstellt durch:</w:t>
            </w:r>
          </w:p>
        </w:tc>
        <w:tc>
          <w:tcPr>
            <w:tcW w:type="dxa" w:w="5760"/>
          </w:tcPr>
          <w:p>
            <w:r>
              <w:rPr>
                <w:sz w:val="20"/>
              </w:rPr>
              <w:t>{{CONTACT_PERSON}}</w:t>
            </w:r>
          </w:p>
        </w:tc>
      </w:tr>
      <w:tr>
        <w:tc>
          <w:tcPr>
            <w:tcW w:type="dxa" w:w="3600"/>
          </w:tcPr>
          <w:p>
            <w:r>
              <w:rPr>
                <w:b/>
                <w:sz w:val="20"/>
              </w:rPr>
              <w:t>Freigegeben durch:</w:t>
            </w:r>
          </w:p>
        </w:tc>
        <w:tc>
          <w:tcPr>
            <w:tcW w:type="dxa" w:w="5760"/>
          </w:tcPr>
          <w:p>
            <w:r>
              <w:rPr>
                <w:sz w:val="20"/>
              </w:rPr>
              <w:t>{{APPROVAL_ROLE}} der {{COMPANY_NAME}}</w:t>
            </w:r>
          </w:p>
        </w:tc>
      </w:tr>
    </w:tbl>
    <w:p/>
    <w:p/>
    <w:p/>
    <w:p>
      <w:r>
        <w:t>______________________________          ______________________________</w:t>
      </w:r>
    </w:p>
    <w:p>
      <w:r>
        <w:rPr>
          <w:sz w:val="18"/>
        </w:rPr>
        <w:t>Ort, Datum</w:t>
      </w:r>
      <w:r>
        <w:rPr>
          <w:sz w:val="18"/>
        </w:rPr>
        <w:t xml:space="preserve">                                          </w:t>
      </w:r>
      <w:r>
        <w:rPr>
          <w:sz w:val="18"/>
        </w:rPr>
        <w:t>Unterschrift Geschäftsführung</w:t>
      </w:r>
    </w:p>
    <w:p/>
    <w:p/>
    <w:p>
      <w:r>
        <w:t>Mit der Unterschrift bestätigt die Geschäftsführung die Richtigkeit und Vollständigkeit dieses Qualitätsmanagement-Handbuchs sowie die Verpflichtung zur Umsetzung und kontinuierlichen Verbesserung des QM-Systems.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6C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