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处罚搜索页截图20250711120438.png</w:t>
        <w:br/>
        <w:drawing>
          <wp:inline distT="0" distR="0" distB="0" distL="0">
            <wp:extent cx="4521200" cy="2540000"/>
            <wp:docPr id="0" name="Drawing 0" descr="青岛滴滴易购跨境电子商务有限公司 处罚搜索页截图202507111204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青岛滴滴易购跨境电子商务有限公司 处罚搜索页截图202507111204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1.2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失信 违法搜索页截图20250711120542.png</w:t>
        <w:br/>
        <w:drawing>
          <wp:inline distT="0" distR="0" distB="0" distL="0">
            <wp:extent cx="4521200" cy="2540000"/>
            <wp:docPr id="1" name="Drawing 1" descr="青岛滴滴易购跨境电子商务有限公司 失信 违法搜索页截图202507111205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青岛滴滴易购跨境电子商务有限公司 失信 违法搜索页截图202507111205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>
      <w:pPr>
        <w:pStyle w:val="Heading2"/>
      </w:pPr>
      <w:r>
        <w:rPr>
          <w:b w:val="true"/>
          <w:sz w:val="26"/>
        </w:rPr>
        <w:t>1.3 【91370211MA3DQJT88L-青岛滴滴易购跨境电子商务有限公司】核查结果</w:t>
      </w:r>
    </w:p>
    <w:p>
      <w:r>
        <w:t>企业名称：青岛滴滴易购跨境电子商务有限公司</w:t>
        <w:br/>
        <w:t>统一社会信用代码：91370211MA3DQJT88L</w:t>
      </w:r>
    </w:p>
    <w:p>
      <w:pPr>
        <w:jc w:val="center"/>
      </w:pPr>
      <w:r>
        <w:t>青岛滴滴易购跨境电子商务有限公司 行贿搜索页截图20250711120646.png</w:t>
        <w:br/>
        <w:drawing>
          <wp:inline distT="0" distR="0" distB="0" distL="0">
            <wp:extent cx="4229100" cy="2540000"/>
            <wp:docPr id="2" name="Drawing 2" descr="青岛滴滴易购跨境电子商务有限公司 行贿搜索页截图202507111206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青岛滴滴易购跨境电子商务有限公司 行贿搜索页截图2025071112064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2025-07-24T00:32:33Z</dcterms:created>
  <dc:creator>Apache POI</dc:creator>
</cp:coreProperties>
</file>