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“Київський фаховий коледж зв’язку”</w:t>
      </w:r>
    </w:p>
    <w:p w:rsidR="00000000" w:rsidDel="00000000" w:rsidP="00000000" w:rsidRDefault="00000000" w:rsidRPr="00000000" w14:paraId="00000002">
      <w:pPr>
        <w:spacing w:after="120" w:before="12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ЛАБОРАТОРНОЇ РОБОТИ №3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дисципліни: «Операційні системи»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“Знайомство з базовими командами CLI-режиму в Linux”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Виконав(ла/ли) студент(ка/и) </w:t>
      </w:r>
    </w:p>
    <w:p w:rsidR="00000000" w:rsidDel="00000000" w:rsidP="00000000" w:rsidRDefault="00000000" w:rsidRPr="00000000" w14:paraId="00000017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групи КСМ-33:</w:t>
      </w:r>
    </w:p>
    <w:p w:rsidR="00000000" w:rsidDel="00000000" w:rsidP="00000000" w:rsidRDefault="00000000" w:rsidRPr="00000000" w14:paraId="00000018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color w:val="ff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Литвин Артем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Перевірила викладач</w:t>
      </w:r>
    </w:p>
    <w:p w:rsidR="00000000" w:rsidDel="00000000" w:rsidP="00000000" w:rsidRDefault="00000000" w:rsidRPr="00000000" w14:paraId="0000001A">
      <w:pPr>
        <w:spacing w:line="240" w:lineRule="auto"/>
        <w:ind w:left="6661.417322834645" w:hanging="850.3937007874015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Сушанова В.С. 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                                Київ 2025</w:t>
      </w:r>
    </w:p>
    <w:p w:rsidR="00000000" w:rsidDel="00000000" w:rsidP="00000000" w:rsidRDefault="00000000" w:rsidRPr="00000000" w14:paraId="0000001F">
      <w:pPr>
        <w:spacing w:line="240" w:lineRule="auto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 роботи: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line="240" w:lineRule="auto"/>
        <w:ind w:left="708.6614173228347" w:hanging="283.464566929133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 базовими командами CLI-режиму в Linux.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line="240" w:lineRule="auto"/>
        <w:ind w:left="708.6614173228347" w:hanging="283.46456692913375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Знайомство з базовими текстовими командами в термінальному режимі роботи в різних ОС.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Матеріальне забезпечення занять:</w:t>
      </w:r>
    </w:p>
    <w:p w:rsidR="00000000" w:rsidDel="00000000" w:rsidP="00000000" w:rsidRDefault="00000000" w:rsidRPr="00000000" w14:paraId="00000027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ЕОМ типу IBM PC.</w:t>
      </w:r>
    </w:p>
    <w:p w:rsidR="00000000" w:rsidDel="00000000" w:rsidP="00000000" w:rsidRDefault="00000000" w:rsidRPr="00000000" w14:paraId="00000028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ОС сімейства Windows та віртуальна машина Virtual Box (Oracle).</w:t>
      </w:r>
    </w:p>
    <w:p w:rsidR="00000000" w:rsidDel="00000000" w:rsidP="00000000" w:rsidRDefault="00000000" w:rsidRPr="00000000" w14:paraId="00000029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ОС GNU/Linux (будь-який дистрибутив).</w:t>
      </w:r>
    </w:p>
    <w:p w:rsidR="00000000" w:rsidDel="00000000" w:rsidP="00000000" w:rsidRDefault="00000000" w:rsidRPr="00000000" w14:paraId="0000002A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Сайт мережевої академії Cisco netacad.com та його онлайн курси по Linux</w:t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роботи: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line="240" w:lineRule="auto"/>
        <w:ind w:left="567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Опрацюйте всі приклади команд, що представлені у лабораторній роботі курсу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NDG Linux Essentials - Lab 5: Command Line Skills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Lab 6: Getting Help.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Створіть таблицю для опису цих команд 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75"/>
        <w:gridCol w:w="7305"/>
        <w:tblGridChange w:id="0">
          <w:tblGrid>
            <w:gridCol w:w="2475"/>
            <w:gridCol w:w="73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 команди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Її призначення та функціональність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Виводить інформації про каталоги та файли. За замовчуванням без аргументів відображає інформацію для поточного каталогу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ls -l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Використанні параметру </w:t>
            </w:r>
            <w:r w:rsidDel="00000000" w:rsidR="00000000" w:rsidRPr="00000000">
              <w:rPr>
                <w:b w:val="1"/>
                <w:rtl w:val="0"/>
              </w:rPr>
              <w:t xml:space="preserve">-l</w:t>
            </w:r>
            <w:r w:rsidDel="00000000" w:rsidR="00000000" w:rsidRPr="00000000">
              <w:rPr>
                <w:rtl w:val="0"/>
              </w:rPr>
              <w:t xml:space="preserve"> в команді </w:t>
            </w:r>
            <w:r w:rsidDel="00000000" w:rsidR="00000000" w:rsidRPr="00000000">
              <w:rPr>
                <w:b w:val="1"/>
                <w:rtl w:val="0"/>
              </w:rPr>
              <w:t xml:space="preserve">ls</w:t>
            </w:r>
            <w:r w:rsidDel="00000000" w:rsidR="00000000" w:rsidRPr="00000000">
              <w:rPr>
                <w:rtl w:val="0"/>
              </w:rPr>
              <w:t xml:space="preserve"> дозволяє відобразити інформацію про файли, розташовані в поточному робочому каталозі, у довгому форматі, який надає більш розширену додаткову інформацію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ls -l /tmp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Використання аргументу </w:t>
            </w:r>
            <w:r w:rsidDel="00000000" w:rsidR="00000000" w:rsidRPr="00000000">
              <w:rPr>
                <w:b w:val="1"/>
                <w:rtl w:val="0"/>
              </w:rPr>
              <w:t xml:space="preserve">/tmp</w:t>
            </w:r>
            <w:r w:rsidDel="00000000" w:rsidR="00000000" w:rsidRPr="00000000">
              <w:rPr>
                <w:rtl w:val="0"/>
              </w:rPr>
              <w:t xml:space="preserve"> в поєднанні з параметром </w:t>
            </w:r>
            <w:r w:rsidDel="00000000" w:rsidR="00000000" w:rsidRPr="00000000">
              <w:rPr>
                <w:b w:val="1"/>
                <w:rtl w:val="0"/>
              </w:rPr>
              <w:t xml:space="preserve">-l</w:t>
            </w:r>
            <w:r w:rsidDel="00000000" w:rsidR="00000000" w:rsidRPr="00000000">
              <w:rPr>
                <w:rtl w:val="0"/>
              </w:rPr>
              <w:t xml:space="preserve"> в команді </w:t>
            </w:r>
            <w:r w:rsidDel="00000000" w:rsidR="00000000" w:rsidRPr="00000000">
              <w:rPr>
                <w:b w:val="1"/>
                <w:rtl w:val="0"/>
              </w:rPr>
              <w:t xml:space="preserve">ls </w:t>
            </w:r>
            <w:r w:rsidDel="00000000" w:rsidR="00000000" w:rsidRPr="00000000">
              <w:rPr>
                <w:rtl w:val="0"/>
              </w:rPr>
              <w:t xml:space="preserve">дозволяє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відобразити детальну інформацію про файли в каталозі /tmp.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Примітка: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Скріншоти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виконання команд в терміналі можна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не представляти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достатньо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коротко описати команди в таблиці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line="240" w:lineRule="auto"/>
        <w:ind w:left="567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Робота в в терміналі (закріплення практичних навичок)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обов'язково представити свої скріншоти: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2.1. Робота зі змінними (Variables) та псевдонімами (Aliases) в терміналі: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Створіть змінні, що будуть містити Ваші імена та прізвища $var_name1, $var_name2, $var_name3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 допомогою команди echo виведіть імена студентів вашої команди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Створіть псевдоніми mycal1, mycal2, mycal3 для команди cal для автоматичного виведення календарю вашого року народження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2.2. *Робота з функціями (Functions) в терміналі: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Створіть функцію students_report, що порядково буде виводити спочатку імена студентів Вашої команди, а потім роки їх народження  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2.3. *Робота з лапками (Quoting) в терміналі. Виведіть в командному рядку наступні речення: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“We create such variables as $var_name1, $var_name2, $var_name3, which stored our names Name1, Name2, Name3” (у реченні спочатку виводимо назви змінних, а потім їх вміст)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“We create such Aliases as mycal1, mycal2, mycal3, which can show our calendars: Calendar1, Calendar2, Calendar3”  (у реченні спочатку виводимо назву команди-псевдонімів, потім вивід цих команд).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2.4. **Робота з інструкціями керування (Control Statements) в терміналі:.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Чи можна завдання 2.1 та 2.2 ходу роботи виконати через інструкції керування без написання окремої функції, як це буде виглядати?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2.5. Робота з командами довідки (Man Pages) в терміналі: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240" w:lineRule="auto"/>
        <w:ind w:left="1343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 прикладі команди uname продемонструйте як отримати довідку. На основі отриманої додаткової інформації наведіть 5 різних варіантів виводу результату інформації по даній команді з використанням 5 різних параметрів (Options)</w:t>
      </w:r>
    </w:p>
    <w:p w:rsidR="00000000" w:rsidDel="00000000" w:rsidP="00000000" w:rsidRDefault="00000000" w:rsidRPr="00000000" w14:paraId="0000004E">
      <w:pPr>
        <w:spacing w:line="240" w:lineRule="auto"/>
        <w:ind w:left="134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1343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Словник базових англійських термінів</w:t>
      </w:r>
    </w:p>
    <w:p w:rsidR="00000000" w:rsidDel="00000000" w:rsidP="00000000" w:rsidRDefault="00000000" w:rsidRPr="00000000" w14:paraId="00000051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86.3031030895577"/>
        <w:gridCol w:w="1599.580503564874"/>
        <w:gridCol w:w="6039.628204369191"/>
        <w:tblGridChange w:id="0">
          <w:tblGrid>
            <w:gridCol w:w="1386.3031030895577"/>
            <w:gridCol w:w="1599.580503564874"/>
            <w:gridCol w:w="6039.628204369191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284e3f" w:space="0" w:sz="7" w:val="single"/>
              <w:left w:color="284e3f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Термін (англ.)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Переклад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Призначення та функціональність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CLI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Command Line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Командний рядок/Інтерфейс командного рядка. Спосіб взаємодії з ОС через текстові команди.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Оболонка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Програма-інтерпретатор командного рядка (Bash), що перекладає команди користувача для ядра ОС.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Команда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Програма, що виконується в CLI для виконання певної дії.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Параметр / Опція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Використовується для зміни основної поведінки команди (зазвичай починається з - або --).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Argument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Аргумент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Використовується для вказівки об'єкта, над яким має діяти команда (наприклад, ім'я файлу).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Рядок запрошення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Текст, який відображається у терміналі перед введенням команди.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Alias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Псевдонім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Створення короткого імені для заміни довшої команди.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Змінна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Область пам'яті, що використовується оболонкою для тимчасового зберігання даних.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Quoting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Лапки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Використання лапок для контролю інтерпретації спеціальних символів.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Control Statements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Інструкції керування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Символи (&amp;&amp;, 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line="240" w:lineRule="auto"/>
        <w:ind w:left="709" w:hanging="283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goaxu5922abh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Визначення понять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Командний інтерпретатор: Програма, яка приймає текстові команди користувача, інтерпретує їх та перетворює на системні виклики, зрозумілі ядру ОС.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Оболонка (Shell): Користувацький інтерфейс, що забезпечує доступ до сервісів ОС. Є типом командного інтерпретатора.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Команда: Виконуваний програмни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файл, який запускається оболонкою для виконання конкретної дії.</w:t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Таблиця команд</w:t>
      </w:r>
    </w:p>
    <w:p w:rsidR="00000000" w:rsidDel="00000000" w:rsidP="00000000" w:rsidRDefault="00000000" w:rsidRPr="00000000" w14:paraId="0000008B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9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4500"/>
        <w:gridCol w:w="1395"/>
        <w:tblGridChange w:id="0">
          <w:tblGrid>
            <w:gridCol w:w="2070"/>
            <w:gridCol w:w="4500"/>
            <w:gridCol w:w="139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284e3f" w:space="0" w:sz="7" w:val="single"/>
              <w:left w:color="284e3f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Назва команди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Її призначення та функціональність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Приклад використання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ls 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Параметр -a (all) показує всі файли, включно з прихованими.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ls -a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ls -lh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Комбінація -l (довгий формат) та -h (human-readable) показує розміри файлів у зручному вигляді (КБ, МБ).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ls -lh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Перехід до батьківського каталогу (на один рівень вище).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Print Working Directory. Виводить повний шлях до поточного робочого каталогу.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type 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Визначає, чи є команда ls вбудованою, зовнішньою, псевдонімом чи функцією.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type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echo $HOME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Виводить значення системної змінної оточення HOME (шлях до домашнього каталогу).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echo $HOME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man 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Виводить повну довідкову сторінку для команди cd.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man 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man -k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Шукає man-сторінки, які містять file в описі (apropos).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man -k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30"/>
          <w:szCs w:val="30"/>
        </w:rPr>
      </w:pPr>
      <w:bookmarkStart w:colFirst="0" w:colLast="0" w:name="_spe1zk45zwm7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0"/>
          <w:szCs w:val="30"/>
          <w:rtl w:val="0"/>
        </w:rPr>
        <w:t xml:space="preserve">Контрольні запитання 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Які типи команд існують в оболонці Bash? Вбудовані (Built-in), Зовнішні (External), Псевдоніми (Aliases) та Функції (Functions).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Що таке змінні оточення? Іменовані значення, що успадковуються дочірніми процесами.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printenv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переглядають їх.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Опишіть змінну $PS1. Визначає вигляд основного рядка запрошення Bash. Переглядається командою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echo $PS1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Як змінити значення змінної $PS1? Змінюється присвоєнням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PS1="New&gt;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 Постійна зміна відбувається через файл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~/.bashrc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чого використовують лапки в оболонці Bash? Для контролю інтерпретації спеціальних символів. Одинарні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екранують все; Подвійні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 дозволяють розширення змінних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Для чого використовують інструкції керування? Для об'єднання кількох команд та керування порядком їх виконання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чому різниця якщо в кінці рядку запрошення bash стоїть символ $ чи #?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— звичайний користувач;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\#\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— користувач root (суперкористувач).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Яке призначення команд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whereis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шукає виконувані файли та man-сторінки в стандартних системних каталогах.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шукає будь-який файл по базі даних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mlocate.db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), що швидко, але може бути неактуально.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pacing w:after="80" w:line="240" w:lineRule="auto"/>
        <w:ind w:left="720" w:firstLine="0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l0tazrhh8gn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Laboratory Work: Introduction to Basic CLI Commands in Linux</w:t>
      </w:r>
    </w:p>
    <w:p w:rsidR="00000000" w:rsidDel="00000000" w:rsidP="00000000" w:rsidRDefault="00000000" w:rsidRPr="00000000" w14:paraId="000000B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To become familiar with basic CLI commands in Linux and text-based commands in terminal mode across various operating systems.</w:t>
      </w:r>
    </w:p>
    <w:p w:rsidR="00000000" w:rsidDel="00000000" w:rsidP="00000000" w:rsidRDefault="00000000" w:rsidRPr="00000000" w14:paraId="000000B4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Glossary of Basic English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Terms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7.2829252507822"/>
        <w:gridCol w:w="2236.7084064678716"/>
        <w:gridCol w:w="5181.520479304969"/>
        <w:tblGridChange w:id="0">
          <w:tblGrid>
            <w:gridCol w:w="1607.2829252507822"/>
            <w:gridCol w:w="2236.7084064678716"/>
            <w:gridCol w:w="5181.520479304969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284e3f" w:space="0" w:sz="7" w:val="single"/>
              <w:left w:color="284e3f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Term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Translation (Ukrainian)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Purpose and Functionality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CLI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Інтерфейс командного рядка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Command Line Interface. Text-based interaction method with the 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Shell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Оболонка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The command line interpreter (e.g., Bash) that translates user commands for the OS kernel.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Команда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A program executed in the CLI to perform a specific action.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Option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Параметр / Опція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Used to modify the core behavior of a command (typically preceded by - or --).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Argument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Аргумент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Used to specify the object the command should act upon (e.g., filename).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Prompt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Рядок запрошення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The text displayed in the terminal before the user enters a command.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Alias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Псевдонім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Creating a short, simple name to replace a longer command sequence.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Variable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Змінна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Memory space used by the shell to store temporary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Quoting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Лапки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Using quotes to control the shell's interpretation of special characters.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Control Statements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Інструкції керування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Symbols (&amp;&amp;, 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96xu3a7e5d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 Definitions</w:t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Line Interpreter: A program (like the Shell) that accepts text commands, interprets them, and translates them into system calls understood by the OS kernel.</w:t>
      </w:r>
    </w:p>
    <w:p w:rsidR="00000000" w:rsidDel="00000000" w:rsidP="00000000" w:rsidRDefault="00000000" w:rsidRPr="00000000" w14:paraId="000000DA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Shell: A user interface that provides access to the operating system's services. It is a type of command line interpreter. Bash is the most common shell in Linux.</w:t>
      </w:r>
    </w:p>
    <w:p w:rsidR="00000000" w:rsidDel="00000000" w:rsidP="00000000" w:rsidRDefault="00000000" w:rsidRPr="00000000" w14:paraId="000000DB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Command: An executable software program that is run by the interpreter to perform a specific action on the computer.</w:t>
      </w:r>
    </w:p>
    <w:p w:rsidR="00000000" w:rsidDel="00000000" w:rsidP="00000000" w:rsidRDefault="00000000" w:rsidRPr="00000000" w14:paraId="000000D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 Command Table</w:t>
      </w:r>
    </w:p>
    <w:p w:rsidR="00000000" w:rsidDel="00000000" w:rsidP="00000000" w:rsidRDefault="00000000" w:rsidRPr="00000000" w14:paraId="000000D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7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60"/>
        <w:gridCol w:w="4500"/>
        <w:gridCol w:w="2040"/>
        <w:tblGridChange w:id="0">
          <w:tblGrid>
            <w:gridCol w:w="2160"/>
            <w:gridCol w:w="4500"/>
            <w:gridCol w:w="204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284e3f" w:space="0" w:sz="7" w:val="single"/>
              <w:left w:color="284e3f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Command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356854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Purpose and Functionality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84e3f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356854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Example Usage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ls -a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The -a (all) option shows all files, including hidden files (starting with .).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ls -a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ls -lh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The combination of -l (long format) and -h (human-readable) shows file sizes in an easy-to-read format (KB, MB).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ls -lh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Changes the directory to the parent directory (one level up).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cd 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b1c1d"/>
                <w:sz w:val="20"/>
                <w:szCs w:val="20"/>
                <w:rtl w:val="0"/>
              </w:rPr>
              <w:t xml:space="preserve">Print Working Directory. Prints the full path of the current working directory.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pwd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type 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Determines the type of the command ls (built-in, external, alias, or function).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type 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echo $HOME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Outputs the value of the system environment variable HOME.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echo $HOME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man cd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fffff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Displays the full manual page for the cd command.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f6f8f9" w:space="0" w:sz="7" w:val="single"/>
              <w:right w:color="284e3f" w:space="0" w:sz="7" w:val="single"/>
            </w:tcBorders>
            <w:shd w:fill="ffffff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man cd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cccccc" w:space="0" w:sz="7" w:val="single"/>
              <w:left w:color="284e3f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man -k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f6f8f9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b1c1d"/>
                <w:sz w:val="20"/>
                <w:szCs w:val="20"/>
                <w:rtl w:val="0"/>
              </w:rPr>
              <w:t xml:space="preserve">Searches man pages that contain file in the description (apropos).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7" w:val="single"/>
              <w:left w:color="cccccc" w:space="0" w:sz="7" w:val="single"/>
              <w:bottom w:color="284e3f" w:space="0" w:sz="7" w:val="single"/>
              <w:right w:color="284e3f" w:space="0" w:sz="7" w:val="single"/>
            </w:tcBorders>
            <w:shd w:fill="f6f8f9" w:val="clear"/>
            <w:tcMar>
              <w:top w:w="40.0" w:type="dxa"/>
              <w:left w:w="120.0" w:type="dxa"/>
              <w:bottom w:w="40.0" w:type="dxa"/>
              <w:right w:w="12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444746"/>
                <w:sz w:val="20"/>
                <w:szCs w:val="20"/>
                <w:rtl w:val="0"/>
              </w:rPr>
              <w:t xml:space="preserve">man -k file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jv8jg74k8t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0ubipxdmm2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wk8zg4ihqx6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2cx06hfh7ufb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87h3puhgbzar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Control Questions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command types exist in the Bash shell? Built-in commands, external commands, aliases, and functions.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are environment variables? Named values that influence the execution of running processes and are inherited by child processes. They can be viewed using the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printenv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commands.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Describe the $PS1 variable. It is the environment variable that defines the appearance of the primary Bash shell prompt string. Its content is viewed using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echo $PS1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How can the $PS1 variable be changed? It is changed by simple assignment, such as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PS1="New&gt; 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 For persistent changes, the command must be added to a startup file like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~/.bashrc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Why are quotes used in the Bash shell? They are used to control the shell's interpretation of special characters (metacharacters). Single quotes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perform strong quoting, disabling all interpretation. Double quotes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perform weak quoting, allowing variable expansion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but disabling most other interpretations.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Why are control statements used? They are used to combine multiple commands into a single line and control the order or conditions under which they are executed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the difference if the Bash prompt ends with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 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indicates a standard, unprivileged user. A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indicates the root (superuser) user.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What is the purpose of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whereis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locate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whereis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searches for executables, source files, and man pages only in standard system directories.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locate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searches the entire filesystem using a pre-built, scheduled-update database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mlocate.db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), making it very fast but potentially inaccurate (stale).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psw148qtvc7j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xb0kwvel4mb5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755a7xv3hzeb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="24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mv0ddm3tzsjm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                                     Conclusion</w:t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The execution of this laboratory work successfully achieved its objective: gaining practical knowledge and skills in using basic Command Line Interface (CLI) commands within the Linux environment.</w:t>
      </w:r>
    </w:p>
    <w:p w:rsidR="00000000" w:rsidDel="00000000" w:rsidP="00000000" w:rsidRDefault="00000000" w:rsidRPr="00000000" w14:paraId="0000010C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9"/>
      <w:numFmt w:val="bullet"/>
      <w:lvlText w:val="-"/>
      <w:lvlJc w:val="left"/>
      <w:pPr>
        <w:ind w:left="1343" w:hanging="359.9999999999999"/>
      </w:pPr>
      <w:rPr>
        <w:u w:val="none"/>
      </w:rPr>
    </w:lvl>
    <w:lvl w:ilvl="1">
      <w:start w:val="1"/>
      <w:numFmt w:val="bullet"/>
      <w:lvlText w:val="o"/>
      <w:lvlJc w:val="left"/>
      <w:pPr>
        <w:ind w:left="2063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783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03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223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943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63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383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103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720"/>
      </w:pPr>
      <w:rPr>
        <w:u w:val="none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rPr>
      <w:rFonts w:ascii="Times New Roman" w:cs="Times New Roman" w:eastAsia="Times New Roman" w:hAnsi="Times New Roman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