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743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Figure 4: Change in crude incidence of TIA and stroke per 100,000 per year under ICD-11.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*The discrepancy in the population size in Degan et al is due to 30 patients being reclassified to a different diagnosis (atypical neurological symptoms) in their study, and not relevant to this review.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