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800"/>
        <w:gridCol w:w="1800"/>
        <w:gridCol w:w="1800"/>
        <w:gridCol w:w="1800"/>
      </w:tblGrid>
      <w:tr>
        <w:trPr>
          <w:cantSplit/>
          <w:trHeight w:val="360" w:hRule="auto"/>
        </w:trPr>
        <w:tc>
          <w:tcPr>
            <w:tcBorders>
              <w:bottom w:val="nil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Prohibition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Prohibition v</w:t>
              <w:br/>
              <w:t xml:space="preserve"> Recreational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Medical v</w:t>
              <w:br/>
              <w:t xml:space="preserve"> Recreational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Difference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-0.364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-0.673</w:t>
            </w:r>
          </w:p>
        </w:tc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-0.309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(0.257) </w:t>
              <w:br/>
              <w:t xml:space="preserve">[0.165] </w:t>
              <w:br/>
              <w:t xml:space="preserve">(-0.883 to 0.156)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(0.391) </w:t>
              <w:br/>
              <w:t xml:space="preserve">[0.099] </w:t>
              <w:br/>
              <w:t xml:space="preserve">(-1.482 to 0.136)</w:t>
            </w:r>
          </w:p>
        </w:tc>
        <w:tc>
          <w:tcPr>
            <w:tcBorders>
              <w:bottom w:val="single" w:sz="3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(0.392) </w:t>
              <w:br/>
              <w:t xml:space="preserve">[0.436] </w:t>
              <w:br/>
              <w:t xml:space="preserve">(-1.109 to 0.490)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44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>
              <w:bottom w:val="single" w:sz="6" w:space="0" w:color="000000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>
              <w:bottom w:val="nil"/>
              <w:top w:val="nil"/>
              <w:left w:val="nil"/>
              <w:right w:val="nil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bottom w:val="nil"/>
              <w:top w:val="nil"/>
              <w:left w:val="nil"/>
              <w:right w:val="nil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111111"/>
              </w:rPr>
              <w:t xml:space="preserve">Note: Difference between means of groups reported with the robust standard error of the difference reported in parantheses below. P-values reported in brackets. P-values also represented by stars with * p &lt; 0.05, ** p &lt; 0.01, *** p &lt; 0.001. 95% confidence interval of difference in means calculated using robust standard errors in parantheses.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hollina</cp:lastModifiedBy>
  <cp:revision>6</cp:revision>
  <dcterms:created xsi:type="dcterms:W3CDTF">2017-02-28T11:18:00Z</dcterms:created>
  <dcterms:modified xsi:type="dcterms:W3CDTF">2020-02-04T13:03:46Z</dcterms:modified>
  <cp:category/>
</cp:coreProperties>
</file>