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2880"/>
        <w:gridCol w:w="2880"/>
        <w:gridCol w:w="288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8.057 ***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11.158 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14.213 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(1.858) </w:t>
              <w:br/>
              <w:t xml:space="preserve">[0.000] </w:t>
              <w:br/>
              <w:t xml:space="preserve">(4.322 to 11.793)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(4.345) </w:t>
              <w:br/>
              <w:t xml:space="preserve">[0.013] </w:t>
              <w:br/>
              <w:t xml:space="preserve">(2.427 to 19.889)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(5.879) </w:t>
              <w:br/>
              <w:t xml:space="preserve">[0.020] </w:t>
              <w:br/>
              <w:t xml:space="preserve">(2.387 to 26.040)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E-cigarette use (0-100%)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-0.791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-1.271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(0.863) </w:t>
              <w:br/>
              <w:t xml:space="preserve">[0.364] </w:t>
              <w:br/>
              <w:t xml:space="preserve">(-2.525 to 0.944)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(0.982) </w:t>
              <w:br/>
              <w:t xml:space="preserve">[0.202] </w:t>
              <w:br/>
              <w:t xml:space="preserve">(-3.246 to 0.704)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marijuana only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0.713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0.251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(2.590) </w:t>
              <w:br/>
              <w:t xml:space="preserve">[0.784] </w:t>
              <w:br/>
              <w:t xml:space="preserve">(-4.495 to 5.921)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(2.741) </w:t>
              <w:br/>
              <w:t xml:space="preserve">[0.928] </w:t>
              <w:br/>
              <w:t xml:space="preserve">(-5.263 to 5.764)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Recreational marijuana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-6.359 **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-7.214 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(1.936) </w:t>
              <w:br/>
              <w:t xml:space="preserve">[0.002] </w:t>
              <w:br/>
              <w:t xml:space="preserve">(-10.251 to -2.466)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(2.274) </w:t>
              <w:br/>
              <w:t xml:space="preserve">[0.003] </w:t>
              <w:br/>
              <w:t xml:space="preserve">(-11.788 to -2.640)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Robust standard error reported in parentheses below. P-values reported in brackets. P-values also represented by stars with * p &lt; 0.05, ** p &lt; 0.01, *** p &lt; 0.001. 95% confidence interval calculated using robust standard errors in parentheses.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2020-02-07T14:58:28Z</dcterms:modified>
  <cp:category/>
</cp:coreProperties>
</file>