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7816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7C5BE5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3970A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FFADE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A8877B" w14:textId="62163299" w:rsidR="002F7873" w:rsidRP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712886">
        <w:rPr>
          <w:rFonts w:ascii="Times New Roman" w:eastAsia="Times New Roman" w:hAnsi="Times New Roman" w:cs="Times New Roman"/>
          <w:sz w:val="40"/>
          <w:szCs w:val="40"/>
        </w:rPr>
        <w:t>Predicting</w:t>
      </w:r>
      <w:proofErr w:type="spellEnd"/>
      <w:r w:rsidRPr="0071288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712886">
        <w:rPr>
          <w:rFonts w:ascii="Times New Roman" w:eastAsia="Times New Roman" w:hAnsi="Times New Roman" w:cs="Times New Roman"/>
          <w:sz w:val="40"/>
          <w:szCs w:val="40"/>
        </w:rPr>
        <w:t>Bankruptcies</w:t>
      </w:r>
      <w:proofErr w:type="spellEnd"/>
    </w:p>
    <w:p w14:paraId="20D0083F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0CDBD" w14:textId="074D638A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Econometrics</w:t>
      </w:r>
      <w:proofErr w:type="spellEnd"/>
    </w:p>
    <w:p w14:paraId="2A29C5CE" w14:textId="64FA3CC1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Hollósi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István, Pókász Zoltán, Soós Adrienn, Szabó Gábor</w:t>
      </w:r>
    </w:p>
    <w:p w14:paraId="6401F0DC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E39FD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EE3C9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8C999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34457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F203E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A4988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2E0F3B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1D356A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EA3A63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47575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347CFD" w14:textId="77777777" w:rsidR="00712886" w:rsidRDefault="0071288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BF65CC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163113093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hu"/>
        </w:rPr>
      </w:sdtEndPr>
      <w:sdtContent>
        <w:p w14:paraId="50EFD85F" w14:textId="6705B52E" w:rsidR="00272BFF" w:rsidRDefault="00272BFF">
          <w:pPr>
            <w:pStyle w:val="Tartalomjegyzkcmsora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0F8D5311" w14:textId="56292FA1" w:rsidR="00272BFF" w:rsidRDefault="00272BFF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35169" w:history="1">
            <w:r w:rsidRPr="00A551F4">
              <w:rPr>
                <w:rStyle w:val="Hiperhivatkozs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7FC1" w14:textId="4DE96602" w:rsidR="00272BFF" w:rsidRDefault="00272BFF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935170" w:history="1">
            <w:r w:rsidRPr="00A551F4">
              <w:rPr>
                <w:rStyle w:val="Hiperhivatkozs"/>
                <w:b/>
                <w:bCs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DB04" w14:textId="36F9098C" w:rsidR="00272BFF" w:rsidRDefault="00272BFF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935171" w:history="1">
            <w:r w:rsidRPr="00A551F4">
              <w:rPr>
                <w:rStyle w:val="Hiperhivatkozs"/>
                <w:b/>
                <w:bCs/>
                <w:noProof/>
              </w:rPr>
              <w:t>About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025F" w14:textId="519AA74F" w:rsidR="00272BFF" w:rsidRDefault="00272BFF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935172" w:history="1">
            <w:r w:rsidRPr="00A551F4">
              <w:rPr>
                <w:rStyle w:val="Hiperhivatkozs"/>
                <w:b/>
                <w:bCs/>
                <w:noProof/>
              </w:rPr>
              <w:t>Data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A8CA" w14:textId="0F582EBA" w:rsidR="00272BFF" w:rsidRDefault="00272BFF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935173" w:history="1">
            <w:r w:rsidRPr="00A551F4">
              <w:rPr>
                <w:rStyle w:val="Hiperhivatkozs"/>
                <w:b/>
                <w:bCs/>
                <w:noProof/>
              </w:rPr>
              <w:t>Econometric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22A8" w14:textId="0076B0AD" w:rsidR="00272BFF" w:rsidRDefault="00272BFF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935174" w:history="1">
            <w:r w:rsidRPr="00A551F4">
              <w:rPr>
                <w:rStyle w:val="Hiperhivatkozs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2F44" w14:textId="0EEA203A" w:rsidR="00272BFF" w:rsidRDefault="00272BFF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935175" w:history="1">
            <w:r w:rsidRPr="00A551F4">
              <w:rPr>
                <w:rStyle w:val="Hiperhivatkozs"/>
                <w:rFonts w:ascii="Times New Roman" w:eastAsia="Times New Roman" w:hAnsi="Times New Roman" w:cs="Times New Roman"/>
                <w:b/>
                <w:i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8C7B" w14:textId="46E30A8B" w:rsidR="00272BFF" w:rsidRDefault="00272BFF">
          <w:r>
            <w:rPr>
              <w:b/>
              <w:bCs/>
            </w:rPr>
            <w:fldChar w:fldCharType="end"/>
          </w:r>
        </w:p>
      </w:sdtContent>
    </w:sdt>
    <w:p w14:paraId="18E52D9F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B0E63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2D2A2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B0FF0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F16B1B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17B3D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0C3AC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59BEC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299A3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43558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22275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A2645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B84E0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2B802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89972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297DB" w14:textId="77777777" w:rsidR="004A7142" w:rsidRDefault="004A714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25938" w14:textId="7292D782" w:rsidR="002F7873" w:rsidRPr="00272BFF" w:rsidRDefault="00000000" w:rsidP="00272BFF">
      <w:pPr>
        <w:pStyle w:val="Cmsor1"/>
        <w:rPr>
          <w:b/>
          <w:bCs/>
          <w:sz w:val="24"/>
          <w:szCs w:val="24"/>
        </w:rPr>
      </w:pPr>
      <w:bookmarkStart w:id="0" w:name="_Toc153935169"/>
      <w:proofErr w:type="spellStart"/>
      <w:r w:rsidRPr="00272BFF">
        <w:rPr>
          <w:b/>
          <w:bCs/>
          <w:sz w:val="24"/>
          <w:szCs w:val="24"/>
        </w:rPr>
        <w:lastRenderedPageBreak/>
        <w:t>Introduction</w:t>
      </w:r>
      <w:bookmarkEnd w:id="0"/>
      <w:proofErr w:type="spellEnd"/>
      <w:r w:rsidRPr="00272BFF">
        <w:rPr>
          <w:b/>
          <w:bCs/>
          <w:sz w:val="24"/>
          <w:szCs w:val="24"/>
        </w:rPr>
        <w:t xml:space="preserve"> </w:t>
      </w:r>
    </w:p>
    <w:p w14:paraId="04058387" w14:textId="77777777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Great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center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economy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investigate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37EC6" w14:textId="77777777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735CA1" w14:textId="2EC56150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New York Stock Exchange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NASDAQ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8262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712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="00712886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declared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B55925" w14:textId="77777777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3298CF3" w14:textId="77777777" w:rsidR="002F7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1 bekezdés a módszertanról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6EB78F" w14:textId="4F961899" w:rsidR="002F7873" w:rsidRDefault="00DA4322" w:rsidP="00DA4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show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compared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the</w:t>
      </w:r>
      <w:proofErr w:type="spellEnd"/>
      <w:r w:rsidR="00E207CD">
        <w:rPr>
          <w:color w:val="000000"/>
        </w:rPr>
        <w:t xml:space="preserve"> </w:t>
      </w:r>
      <w:proofErr w:type="spellStart"/>
      <w:r w:rsidR="00E207CD">
        <w:rPr>
          <w:color w:val="000000"/>
        </w:rPr>
        <w:t>simple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regression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76.30 percent </w:t>
      </w:r>
      <w:proofErr w:type="spellStart"/>
      <w:r>
        <w:rPr>
          <w:color w:val="000000"/>
        </w:rPr>
        <w:t>balanced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bagging</w:t>
      </w:r>
      <w:proofErr w:type="spellEnd"/>
      <w:r w:rsidR="00E207CD">
        <w:rPr>
          <w:color w:val="000000"/>
        </w:rPr>
        <w:t xml:space="preserve"> </w:t>
      </w:r>
      <w:proofErr w:type="spellStart"/>
      <w:r w:rsidR="00E207CD">
        <w:rPr>
          <w:color w:val="000000"/>
        </w:rPr>
        <w:t>regression</w:t>
      </w:r>
      <w:proofErr w:type="spellEnd"/>
      <w:r w:rsidR="00E207CD">
        <w:rPr>
          <w:color w:val="000000"/>
        </w:rPr>
        <w:t xml:space="preserve"> </w:t>
      </w:r>
      <w:proofErr w:type="spellStart"/>
      <w:r w:rsidR="00E207CD">
        <w:rPr>
          <w:color w:val="000000"/>
        </w:rPr>
        <w:t>tree</w:t>
      </w:r>
      <w:proofErr w:type="spellEnd"/>
      <w:r>
        <w:rPr>
          <w:color w:val="000000"/>
        </w:rPr>
        <w:t xml:space="preserve">, random </w:t>
      </w:r>
      <w:proofErr w:type="spellStart"/>
      <w:r>
        <w:rPr>
          <w:color w:val="000000"/>
        </w:rPr>
        <w:t>forest</w:t>
      </w:r>
      <w:proofErr w:type="spellEnd"/>
      <w:r>
        <w:rPr>
          <w:color w:val="000000"/>
        </w:rPr>
        <w:t xml:space="preserve"> and </w:t>
      </w:r>
      <w:proofErr w:type="spellStart"/>
      <w:r w:rsidR="00E207CD">
        <w:rPr>
          <w:color w:val="000000"/>
        </w:rPr>
        <w:t>gradient</w:t>
      </w:r>
      <w:proofErr w:type="spellEnd"/>
      <w:r w:rsidR="00E207CD">
        <w:rPr>
          <w:color w:val="000000"/>
        </w:rPr>
        <w:t xml:space="preserve"> </w:t>
      </w:r>
      <w:proofErr w:type="spellStart"/>
      <w:r>
        <w:rPr>
          <w:color w:val="000000"/>
        </w:rPr>
        <w:t>boosting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better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sensitivity</w:t>
      </w:r>
      <w:proofErr w:type="spellEnd"/>
      <w:r>
        <w:rPr>
          <w:color w:val="000000"/>
        </w:rPr>
        <w:t xml:space="preserve"> (in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a </w:t>
      </w:r>
      <w:proofErr w:type="gramStart"/>
      <w:r>
        <w:rPr>
          <w:color w:val="000000"/>
        </w:rPr>
        <w:t>non-</w:t>
      </w:r>
      <w:proofErr w:type="spellStart"/>
      <w:r>
        <w:rPr>
          <w:color w:val="000000"/>
        </w:rPr>
        <w:t>bankrupt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company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but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specificity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correct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predictions</w:t>
      </w:r>
      <w:proofErr w:type="spellEnd"/>
      <w:r>
        <w:rPr>
          <w:color w:val="000000"/>
        </w:rPr>
        <w:t xml:space="preserve"> of a </w:t>
      </w:r>
      <w:proofErr w:type="spellStart"/>
      <w:r>
        <w:rPr>
          <w:color w:val="000000"/>
        </w:rPr>
        <w:t>bankruptcy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</w:t>
      </w:r>
      <w:proofErr w:type="spellEnd"/>
      <w:r>
        <w:rPr>
          <w:color w:val="000000"/>
        </w:rPr>
        <w:t xml:space="preserve">. </w:t>
      </w:r>
      <w:proofErr w:type="spellStart"/>
      <w:r w:rsidR="00E207CD">
        <w:rPr>
          <w:color w:val="000000"/>
          <w:highlight w:val="yellow"/>
        </w:rPr>
        <w:t>Regarding</w:t>
      </w:r>
      <w:proofErr w:type="spellEnd"/>
      <w:r w:rsidR="00E207CD">
        <w:rPr>
          <w:color w:val="000000"/>
          <w:highlight w:val="yellow"/>
        </w:rPr>
        <w:t xml:space="preserve"> </w:t>
      </w:r>
      <w:proofErr w:type="spellStart"/>
      <w:r w:rsidR="00E207CD">
        <w:rPr>
          <w:color w:val="000000"/>
          <w:highlight w:val="yellow"/>
        </w:rPr>
        <w:t>to</w:t>
      </w:r>
      <w:proofErr w:type="spellEnd"/>
      <w:r w:rsidR="00E207CD">
        <w:rPr>
          <w:color w:val="000000"/>
          <w:highlight w:val="yellow"/>
        </w:rPr>
        <w:t xml:space="preserve"> </w:t>
      </w:r>
      <w:proofErr w:type="spellStart"/>
      <w:r w:rsidR="00E207CD">
        <w:rPr>
          <w:color w:val="000000"/>
          <w:highlight w:val="yellow"/>
        </w:rPr>
        <w:t>the</w:t>
      </w:r>
      <w:proofErr w:type="spellEnd"/>
      <w:r w:rsidR="00E207CD">
        <w:rPr>
          <w:color w:val="000000"/>
          <w:highlight w:val="yellow"/>
        </w:rPr>
        <w:t xml:space="preserve"> </w:t>
      </w:r>
      <w:proofErr w:type="spellStart"/>
      <w:r w:rsidR="00E207CD">
        <w:rPr>
          <w:color w:val="000000"/>
          <w:highlight w:val="yellow"/>
        </w:rPr>
        <w:t>importance</w:t>
      </w:r>
      <w:proofErr w:type="spellEnd"/>
      <w:r w:rsidR="00E207CD">
        <w:rPr>
          <w:color w:val="000000"/>
          <w:highlight w:val="yellow"/>
        </w:rPr>
        <w:t xml:space="preserve"> of </w:t>
      </w:r>
      <w:proofErr w:type="spellStart"/>
      <w:r w:rsidR="00E207CD">
        <w:rPr>
          <w:color w:val="000000"/>
          <w:highlight w:val="yellow"/>
        </w:rPr>
        <w:t>variables</w:t>
      </w:r>
      <w:proofErr w:type="spellEnd"/>
      <w:r w:rsidRPr="00DA4322">
        <w:rPr>
          <w:color w:val="000000"/>
          <w:highlight w:val="yellow"/>
        </w:rPr>
        <w:t xml:space="preserve"> th</w:t>
      </w:r>
      <w:proofErr w:type="spellStart"/>
      <w:r w:rsidRPr="00DA4322">
        <w:rPr>
          <w:color w:val="000000"/>
          <w:highlight w:val="yellow"/>
        </w:rPr>
        <w:t>e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key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variables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are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the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change</w:t>
      </w:r>
      <w:r w:rsidR="00E207CD">
        <w:rPr>
          <w:color w:val="000000"/>
          <w:highlight w:val="yellow"/>
        </w:rPr>
        <w:t>s</w:t>
      </w:r>
      <w:proofErr w:type="spellEnd"/>
      <w:r w:rsidRPr="00DA4322">
        <w:rPr>
          <w:color w:val="000000"/>
          <w:highlight w:val="yellow"/>
        </w:rPr>
        <w:t xml:space="preserve"> of market </w:t>
      </w:r>
      <w:proofErr w:type="spellStart"/>
      <w:r w:rsidRPr="00DA4322">
        <w:rPr>
          <w:color w:val="000000"/>
          <w:highlight w:val="yellow"/>
        </w:rPr>
        <w:t>value</w:t>
      </w:r>
      <w:proofErr w:type="spellEnd"/>
      <w:r w:rsidR="00E207CD">
        <w:rPr>
          <w:color w:val="000000"/>
          <w:highlight w:val="yellow"/>
        </w:rPr>
        <w:t>,</w:t>
      </w:r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retained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earnings</w:t>
      </w:r>
      <w:proofErr w:type="spellEnd"/>
      <w:r w:rsidRPr="00DA4322">
        <w:rPr>
          <w:color w:val="000000"/>
          <w:highlight w:val="yellow"/>
        </w:rPr>
        <w:t>,</w:t>
      </w:r>
      <w:r w:rsidR="00E207CD">
        <w:rPr>
          <w:color w:val="000000"/>
          <w:highlight w:val="yellow"/>
        </w:rPr>
        <w:t xml:space="preserve"> and </w:t>
      </w:r>
      <w:proofErr w:type="spellStart"/>
      <w:r w:rsidR="00E207CD">
        <w:rPr>
          <w:color w:val="000000"/>
          <w:highlight w:val="yellow"/>
        </w:rPr>
        <w:t>liabilities</w:t>
      </w:r>
      <w:proofErr w:type="spellEnd"/>
      <w:r w:rsidRPr="00DA4322">
        <w:rPr>
          <w:color w:val="000000"/>
          <w:highlight w:val="yellow"/>
        </w:rPr>
        <w:t xml:space="preserve"> bu</w:t>
      </w:r>
      <w:proofErr w:type="spellStart"/>
      <w:r w:rsidRPr="00DA4322">
        <w:rPr>
          <w:color w:val="000000"/>
          <w:highlight w:val="yellow"/>
        </w:rPr>
        <w:t>t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because</w:t>
      </w:r>
      <w:proofErr w:type="spellEnd"/>
      <w:r w:rsidRPr="00DA4322">
        <w:rPr>
          <w:color w:val="000000"/>
          <w:highlight w:val="yellow"/>
        </w:rPr>
        <w:t xml:space="preserve"> of </w:t>
      </w:r>
      <w:proofErr w:type="spellStart"/>
      <w:r w:rsidRPr="00DA4322">
        <w:rPr>
          <w:color w:val="000000"/>
          <w:highlight w:val="yellow"/>
        </w:rPr>
        <w:t>multicollinearity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we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can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have</w:t>
      </w:r>
      <w:proofErr w:type="spellEnd"/>
      <w:r w:rsidRPr="00DA4322">
        <w:rPr>
          <w:color w:val="000000"/>
          <w:highlight w:val="yellow"/>
        </w:rPr>
        <w:t xml:space="preserve"> limited </w:t>
      </w:r>
      <w:proofErr w:type="spellStart"/>
      <w:r w:rsidRPr="00DA4322">
        <w:rPr>
          <w:color w:val="000000"/>
          <w:highlight w:val="yellow"/>
        </w:rPr>
        <w:t>economic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conclusions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from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this</w:t>
      </w:r>
      <w:proofErr w:type="spellEnd"/>
      <w:r w:rsidRPr="00DA4322">
        <w:rPr>
          <w:color w:val="000000"/>
          <w:highlight w:val="yellow"/>
        </w:rPr>
        <w:t xml:space="preserve"> </w:t>
      </w:r>
      <w:proofErr w:type="spellStart"/>
      <w:r w:rsidRPr="00DA4322">
        <w:rPr>
          <w:color w:val="000000"/>
          <w:highlight w:val="yellow"/>
        </w:rPr>
        <w:t>finding</w:t>
      </w:r>
      <w:proofErr w:type="spellEnd"/>
      <w:r w:rsidRPr="00DA4322">
        <w:rPr>
          <w:color w:val="000000"/>
          <w:highlight w:val="yellow"/>
        </w:rPr>
        <w:t>.</w:t>
      </w:r>
    </w:p>
    <w:p w14:paraId="3D849455" w14:textId="77777777" w:rsidR="002F7873" w:rsidRDefault="00000000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23B613D" w14:textId="77777777" w:rsidR="002F7873" w:rsidRPr="00272BFF" w:rsidRDefault="00000000" w:rsidP="00272BFF">
      <w:pPr>
        <w:pStyle w:val="Cmsor1"/>
        <w:rPr>
          <w:b/>
          <w:bCs/>
          <w:sz w:val="24"/>
          <w:szCs w:val="24"/>
        </w:rPr>
      </w:pPr>
      <w:bookmarkStart w:id="1" w:name="_Toc153935170"/>
      <w:proofErr w:type="spellStart"/>
      <w:r w:rsidRPr="00272BFF">
        <w:rPr>
          <w:b/>
          <w:bCs/>
          <w:sz w:val="24"/>
          <w:szCs w:val="24"/>
        </w:rPr>
        <w:lastRenderedPageBreak/>
        <w:t>Literature</w:t>
      </w:r>
      <w:proofErr w:type="spellEnd"/>
      <w:r w:rsidRPr="00272BFF">
        <w:rPr>
          <w:b/>
          <w:bCs/>
          <w:sz w:val="24"/>
          <w:szCs w:val="24"/>
        </w:rPr>
        <w:t xml:space="preserve"> </w:t>
      </w:r>
      <w:proofErr w:type="spellStart"/>
      <w:r w:rsidRPr="00272BFF">
        <w:rPr>
          <w:b/>
          <w:bCs/>
          <w:sz w:val="24"/>
          <w:szCs w:val="24"/>
        </w:rPr>
        <w:t>Review</w:t>
      </w:r>
      <w:bookmarkEnd w:id="1"/>
      <w:proofErr w:type="spellEnd"/>
    </w:p>
    <w:p w14:paraId="5B0E2B43" w14:textId="77777777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(2018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decision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discriminant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multivariate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discriminant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2018)  </w:t>
      </w:r>
    </w:p>
    <w:p w14:paraId="499E9BD4" w14:textId="77777777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Barbosa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(2017)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 10 000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firm-year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American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Altman’s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complementary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approximately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Barbosa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2017).</w:t>
      </w:r>
    </w:p>
    <w:p w14:paraId="64CD02D5" w14:textId="77777777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(2017) has tested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2017).</w:t>
      </w:r>
    </w:p>
    <w:p w14:paraId="27F29805" w14:textId="77777777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Chen (2012)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capabilities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difficulties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decision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(Chen, 2012).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contradicts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Barbosa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(2017)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contradicting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opportunity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BECE36" w14:textId="77777777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(2016)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decision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synthetic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econometric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measures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evolutionary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synthetic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F9B1A7" w14:textId="77777777" w:rsidR="002F7873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12ACF" w14:textId="77777777" w:rsidR="002F7873" w:rsidRPr="00272BFF" w:rsidRDefault="00000000" w:rsidP="00272BFF">
      <w:pPr>
        <w:pStyle w:val="Cmsor1"/>
        <w:rPr>
          <w:b/>
          <w:bCs/>
          <w:sz w:val="24"/>
          <w:szCs w:val="24"/>
        </w:rPr>
      </w:pPr>
      <w:bookmarkStart w:id="2" w:name="_Toc153935171"/>
      <w:proofErr w:type="spellStart"/>
      <w:r w:rsidRPr="00272BFF">
        <w:rPr>
          <w:b/>
          <w:bCs/>
          <w:sz w:val="24"/>
          <w:szCs w:val="24"/>
        </w:rPr>
        <w:t>About</w:t>
      </w:r>
      <w:proofErr w:type="spellEnd"/>
      <w:r w:rsidRPr="00272BFF">
        <w:rPr>
          <w:b/>
          <w:bCs/>
          <w:sz w:val="24"/>
          <w:szCs w:val="24"/>
        </w:rPr>
        <w:t xml:space="preserve"> </w:t>
      </w:r>
      <w:proofErr w:type="spellStart"/>
      <w:r w:rsidRPr="00272BFF">
        <w:rPr>
          <w:b/>
          <w:bCs/>
          <w:sz w:val="24"/>
          <w:szCs w:val="24"/>
        </w:rPr>
        <w:t>the</w:t>
      </w:r>
      <w:proofErr w:type="spellEnd"/>
      <w:r w:rsidRPr="00272BFF">
        <w:rPr>
          <w:b/>
          <w:bCs/>
          <w:sz w:val="24"/>
          <w:szCs w:val="24"/>
        </w:rPr>
        <w:t xml:space="preserve"> </w:t>
      </w:r>
      <w:proofErr w:type="spellStart"/>
      <w:r w:rsidRPr="00272BFF">
        <w:rPr>
          <w:b/>
          <w:bCs/>
          <w:sz w:val="24"/>
          <w:szCs w:val="24"/>
        </w:rPr>
        <w:t>dataset</w:t>
      </w:r>
      <w:bookmarkEnd w:id="2"/>
      <w:proofErr w:type="spellEnd"/>
    </w:p>
    <w:p w14:paraId="23742A8E" w14:textId="4AAB9BF3" w:rsidR="002F7873" w:rsidRDefault="007128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previously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8,262 NYSE and NASDAQ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78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thousand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span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of 19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(1999-2018).</w:t>
      </w:r>
    </w:p>
    <w:p w14:paraId="3A915DE2" w14:textId="77777777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overall,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19-year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unbalanced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Overall,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percent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93 percent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fashion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r>
        <w:rPr>
          <w:rFonts w:ascii="Times New Roman" w:eastAsia="Times New Roman" w:hAnsi="Times New Roman" w:cs="Times New Roman"/>
          <w:sz w:val="24"/>
          <w:szCs w:val="24"/>
        </w:rPr>
        <w:t>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B67D6" w14:textId="77777777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Year)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5B7A8D" w14:textId="77777777" w:rsidR="002F7873" w:rsidRDefault="00000000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assets</w:t>
      </w:r>
      <w:proofErr w:type="spellEnd"/>
    </w:p>
    <w:p w14:paraId="2B7925CD" w14:textId="77777777" w:rsidR="002F7873" w:rsidRDefault="00000000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EBITDA</w:t>
      </w:r>
    </w:p>
    <w:p w14:paraId="61ABF440" w14:textId="77777777" w:rsidR="002F7873" w:rsidRDefault="00000000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</w:p>
    <w:p w14:paraId="1CC61FBB" w14:textId="77777777" w:rsidR="002F7873" w:rsidRDefault="00000000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Total Long-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Debt</w:t>
      </w:r>
      <w:proofErr w:type="spellEnd"/>
    </w:p>
    <w:p w14:paraId="77BC12A9" w14:textId="0B3A1452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mostly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fundamental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61898" w14:textId="77777777" w:rsidR="001F5243" w:rsidRDefault="001F52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88A63" w14:textId="77777777" w:rsidR="001F5243" w:rsidRDefault="001F52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4D369" w14:textId="77777777" w:rsidR="002F7873" w:rsidRPr="00272BFF" w:rsidRDefault="00000000" w:rsidP="00272BFF">
      <w:pPr>
        <w:pStyle w:val="Cmsor1"/>
        <w:rPr>
          <w:b/>
          <w:bCs/>
          <w:sz w:val="24"/>
          <w:szCs w:val="24"/>
        </w:rPr>
      </w:pPr>
      <w:bookmarkStart w:id="3" w:name="_Toc153935172"/>
      <w:r w:rsidRPr="00272BFF">
        <w:rPr>
          <w:b/>
          <w:bCs/>
          <w:sz w:val="24"/>
          <w:szCs w:val="24"/>
        </w:rPr>
        <w:lastRenderedPageBreak/>
        <w:t xml:space="preserve">Data </w:t>
      </w:r>
      <w:proofErr w:type="spellStart"/>
      <w:r w:rsidRPr="00272BFF">
        <w:rPr>
          <w:b/>
          <w:bCs/>
          <w:sz w:val="24"/>
          <w:szCs w:val="24"/>
        </w:rPr>
        <w:t>manipulation</w:t>
      </w:r>
      <w:bookmarkEnd w:id="3"/>
      <w:proofErr w:type="spellEnd"/>
    </w:p>
    <w:p w14:paraId="70CF19EA" w14:textId="33188A97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retrospectively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overwritten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preceding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detrimental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Accordingly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 a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1949E" w14:textId="0486B65E" w:rsidR="00712886" w:rsidRPr="00712886" w:rsidRDefault="00000000" w:rsidP="007128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preceding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postulate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characteristics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12886" w:rsidRPr="00712886">
        <w:rPr>
          <w:rFonts w:ascii="Cambria Math" w:eastAsiaTheme="minorEastAsia" w:hAnsi="Cambria Math" w:cstheme="majorBidi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ange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2"/>
                  <w:sz w:val="24"/>
                  <w:szCs w:val="24"/>
                  <w:lang w:val="hu-HU" w:eastAsia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sz w:val="24"/>
                      <w:szCs w:val="24"/>
                      <w:lang w:val="hu-HU" w:eastAsia="en-US"/>
                      <w14:ligatures w14:val="standardContextual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ajorBidi"/>
                          <w:i/>
                          <w:kern w:val="2"/>
                          <w:sz w:val="24"/>
                          <w:szCs w:val="24"/>
                          <w:lang w:val="hu-HU" w:eastAsia="en-US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sz w:val="24"/>
                      <w:szCs w:val="24"/>
                      <w:lang w:val="hu-HU" w:eastAsia="en-US"/>
                      <w14:ligatures w14:val="standardContextual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ajorBidi"/>
                          <w:i/>
                          <w:kern w:val="2"/>
                          <w:sz w:val="24"/>
                          <w:szCs w:val="24"/>
                          <w:lang w:val="hu-HU" w:eastAsia="en-US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|</m:t>
              </m:r>
            </m:den>
          </m:f>
        </m:oMath>
      </m:oMathPara>
    </w:p>
    <w:p w14:paraId="46DF52BB" w14:textId="19437A86" w:rsidR="00712886" w:rsidRDefault="00712886" w:rsidP="00712886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where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kern w:val="2"/>
                <w:sz w:val="24"/>
                <w:szCs w:val="24"/>
                <w:lang w:val="hu-HU" w:eastAsia="en-US"/>
                <w14:ligatures w14:val="standardContextual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kern w:val="2"/>
                    <w:sz w:val="24"/>
                    <w:szCs w:val="24"/>
                    <w:lang w:val="hu-HU" w:eastAsia="en-US"/>
                    <w14:ligatures w14:val="standardContextual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b>
        </m:sSub>
      </m:oMath>
      <w:r>
        <w:rPr>
          <w:rFonts w:asciiTheme="majorBidi" w:eastAsiaTheme="minorEastAsia" w:hAnsiTheme="majorBidi" w:cstheme="majorBidi"/>
          <w:kern w:val="2"/>
          <w:sz w:val="24"/>
          <w:szCs w:val="24"/>
          <w:lang w:val="hu-HU" w:eastAsia="en-US"/>
          <w14:ligatures w14:val="standardContextual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is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calculated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by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taking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the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previous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three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years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’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average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075A7E7" w14:textId="77777777" w:rsidR="00712886" w:rsidRPr="00FC3186" w:rsidRDefault="00000000" w:rsidP="00712886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2"/>
                  <w:sz w:val="24"/>
                  <w:szCs w:val="24"/>
                  <w:lang w:val="hu-HU" w:eastAsia="en-US"/>
                  <w14:ligatures w14:val="standardContextual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sz w:val="24"/>
                      <w:szCs w:val="24"/>
                      <w:lang w:val="hu-HU" w:eastAsia="en-US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2"/>
                  <w:sz w:val="24"/>
                  <w:szCs w:val="24"/>
                  <w:lang w:val="hu-HU" w:eastAsia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t-3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den>
          </m:f>
        </m:oMath>
      </m:oMathPara>
    </w:p>
    <w:p w14:paraId="17119787" w14:textId="3CB705D6" w:rsidR="002F7873" w:rsidRDefault="00000000" w:rsidP="007128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Consequently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has less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ECA92" w14:textId="77777777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300 percent,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3-time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last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Inventory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Total Long-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0.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E032E" w14:textId="77777777" w:rsidR="002F7873" w:rsidRPr="00272BFF" w:rsidRDefault="00000000" w:rsidP="00272BFF">
      <w:pPr>
        <w:pStyle w:val="Cmsor1"/>
        <w:rPr>
          <w:b/>
          <w:bCs/>
          <w:sz w:val="24"/>
          <w:szCs w:val="24"/>
        </w:rPr>
      </w:pPr>
      <w:bookmarkStart w:id="4" w:name="_Toc153935173"/>
      <w:proofErr w:type="spellStart"/>
      <w:r w:rsidRPr="00272BFF">
        <w:rPr>
          <w:b/>
          <w:bCs/>
          <w:sz w:val="24"/>
          <w:szCs w:val="24"/>
        </w:rPr>
        <w:t>Econometric</w:t>
      </w:r>
      <w:proofErr w:type="spellEnd"/>
      <w:r w:rsidRPr="00272BFF">
        <w:rPr>
          <w:b/>
          <w:bCs/>
          <w:sz w:val="24"/>
          <w:szCs w:val="24"/>
        </w:rPr>
        <w:t xml:space="preserve"> </w:t>
      </w:r>
      <w:proofErr w:type="spellStart"/>
      <w:r w:rsidRPr="00272BFF">
        <w:rPr>
          <w:b/>
          <w:bCs/>
          <w:sz w:val="24"/>
          <w:szCs w:val="24"/>
        </w:rPr>
        <w:t>methodology</w:t>
      </w:r>
      <w:bookmarkEnd w:id="4"/>
      <w:proofErr w:type="spellEnd"/>
    </w:p>
    <w:p w14:paraId="2F2CC1C5" w14:textId="22C5336B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U.S.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variety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288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712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="007128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712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standard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</m:oMath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variable count</w:t>
      </w:r>
      <w:r w:rsidR="007128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127609" w14:textId="54748E08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="00712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appropriate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particularly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interpretable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discrete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in most of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7D9D4" w14:textId="6EC4B56C" w:rsidR="002F7873" w:rsidRDefault="00000000" w:rsidP="007128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mitigate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overfitting and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70-30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70 percent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remainder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constitues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70 and 30 percent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2353E" w14:textId="0B70DA1D" w:rsidR="002F7873" w:rsidRPr="00712886" w:rsidRDefault="00000000" w:rsidP="007128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modelling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appropriate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weighting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arbitrary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fashion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themselves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limited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oversampling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benefit.</w:t>
      </w:r>
    </w:p>
    <w:p w14:paraId="159155BE" w14:textId="77777777" w:rsidR="002F7873" w:rsidRPr="00272BFF" w:rsidRDefault="00000000" w:rsidP="00272BFF">
      <w:pPr>
        <w:pStyle w:val="Cmsor1"/>
        <w:rPr>
          <w:b/>
          <w:bCs/>
          <w:sz w:val="24"/>
          <w:szCs w:val="24"/>
        </w:rPr>
      </w:pPr>
      <w:bookmarkStart w:id="5" w:name="_Toc153935174"/>
      <w:proofErr w:type="spellStart"/>
      <w:r w:rsidRPr="00272BFF">
        <w:rPr>
          <w:b/>
          <w:bCs/>
          <w:sz w:val="24"/>
          <w:szCs w:val="24"/>
        </w:rPr>
        <w:t>Results</w:t>
      </w:r>
      <w:bookmarkEnd w:id="5"/>
      <w:proofErr w:type="spellEnd"/>
      <w:r w:rsidRPr="00272BFF">
        <w:rPr>
          <w:b/>
          <w:bCs/>
          <w:sz w:val="24"/>
          <w:szCs w:val="24"/>
        </w:rPr>
        <w:t xml:space="preserve"> </w:t>
      </w:r>
    </w:p>
    <w:p w14:paraId="03931D77" w14:textId="5E255E1E" w:rsidR="002F7873" w:rsidRDefault="00000000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confusion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</w:t>
      </w:r>
      <w:proofErr w:type="spellEnd"/>
      <w:r w:rsidR="007128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2886">
        <w:rPr>
          <w:rFonts w:ascii="Times New Roman" w:eastAsia="Times New Roman" w:hAnsi="Times New Roman" w:cs="Times New Roman"/>
          <w:i/>
          <w:sz w:val="24"/>
          <w:szCs w:val="24"/>
        </w:rPr>
        <w:t>without</w:t>
      </w:r>
      <w:proofErr w:type="spellEnd"/>
      <w:r w:rsidR="007128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2886">
        <w:rPr>
          <w:rFonts w:ascii="Times New Roman" w:eastAsia="Times New Roman" w:hAnsi="Times New Roman" w:cs="Times New Roman"/>
          <w:i/>
          <w:sz w:val="24"/>
          <w:szCs w:val="24"/>
        </w:rPr>
        <w:t>bagging</w:t>
      </w:r>
      <w:proofErr w:type="spellEnd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80"/>
        <w:gridCol w:w="1140"/>
        <w:gridCol w:w="1125"/>
        <w:gridCol w:w="2235"/>
        <w:gridCol w:w="1140"/>
      </w:tblGrid>
      <w:tr w:rsidR="002F7873" w14:paraId="3A35A987" w14:textId="77777777">
        <w:trPr>
          <w:trHeight w:val="3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FDA0" w14:textId="77777777" w:rsidR="002F7873" w:rsidRDefault="002F78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C117" w14:textId="2AD0F0FA" w:rsidR="002F7873" w:rsidRDefault="00304C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3A4B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05CC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1F94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3AA4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7873" w14:paraId="1B30D8E8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74F0" w14:textId="77777777" w:rsidR="002F7873" w:rsidRDefault="002F78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ED4F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CC88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7FA1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380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4326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7873" w14:paraId="3AB449D4" w14:textId="77777777">
        <w:tc>
          <w:tcPr>
            <w:tcW w:w="198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F66D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8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8BA4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8864</w:t>
            </w:r>
          </w:p>
        </w:tc>
        <w:tc>
          <w:tcPr>
            <w:tcW w:w="1140" w:type="dxa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D676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2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5C7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FA0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140" w:type="dxa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8626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75.26%</w:t>
            </w:r>
          </w:p>
        </w:tc>
      </w:tr>
      <w:tr w:rsidR="002F7873" w14:paraId="5D3CBA54" w14:textId="77777777">
        <w:tc>
          <w:tcPr>
            <w:tcW w:w="198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24AE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F8CF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2909</w:t>
            </w:r>
          </w:p>
        </w:tc>
        <w:tc>
          <w:tcPr>
            <w:tcW w:w="1140" w:type="dxa"/>
            <w:tcBorders>
              <w:top w:val="nil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EF9F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12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791C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F28D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Sensitivity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DAB9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75.29%</w:t>
            </w:r>
          </w:p>
        </w:tc>
      </w:tr>
      <w:tr w:rsidR="002F7873" w14:paraId="523B2220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2185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F8EF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A7FD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7378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A546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50BC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71.90%</w:t>
            </w:r>
          </w:p>
        </w:tc>
      </w:tr>
      <w:tr w:rsidR="002F7873" w14:paraId="1104F871" w14:textId="77777777">
        <w:trPr>
          <w:trHeight w:val="527"/>
        </w:trPr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F9B2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own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calculation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F3DD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22BB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115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73.60%</w:t>
            </w:r>
          </w:p>
        </w:tc>
      </w:tr>
    </w:tbl>
    <w:p w14:paraId="06BBBA61" w14:textId="77777777" w:rsidR="002F7873" w:rsidRDefault="002F7873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E9DEF9" w14:textId="77777777" w:rsidR="002F7873" w:rsidRDefault="002F7873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4B1A4" w14:textId="77777777" w:rsidR="00712886" w:rsidRDefault="00712886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3ECF23" w14:textId="77777777" w:rsidR="00712886" w:rsidRDefault="00712886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EEB489" w14:textId="7B9F13CC" w:rsidR="00712886" w:rsidRDefault="00000000" w:rsidP="00304C65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Table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confusion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Bagging</w:t>
      </w:r>
      <w:proofErr w:type="spellEnd"/>
      <w:r w:rsidR="00304C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04C65">
        <w:rPr>
          <w:rFonts w:ascii="Times New Roman" w:eastAsia="Times New Roman" w:hAnsi="Times New Roman" w:cs="Times New Roman"/>
          <w:i/>
          <w:sz w:val="24"/>
          <w:szCs w:val="24"/>
        </w:rPr>
        <w:t>Regression</w:t>
      </w:r>
      <w:proofErr w:type="spellEnd"/>
      <w:r w:rsidR="00304C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04C65">
        <w:rPr>
          <w:rFonts w:ascii="Times New Roman" w:eastAsia="Times New Roman" w:hAnsi="Times New Roman" w:cs="Times New Roman"/>
          <w:i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model</w:t>
      </w:r>
      <w:proofErr w:type="spellEnd"/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80"/>
        <w:gridCol w:w="1140"/>
        <w:gridCol w:w="1125"/>
        <w:gridCol w:w="2235"/>
        <w:gridCol w:w="1140"/>
      </w:tblGrid>
      <w:tr w:rsidR="002F7873" w14:paraId="19F2B7CD" w14:textId="77777777">
        <w:trPr>
          <w:trHeight w:val="3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B7E8" w14:textId="77777777" w:rsidR="002F7873" w:rsidRDefault="002F78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190B" w14:textId="1A299010" w:rsidR="002F7873" w:rsidRDefault="00304C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AC1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BF52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A101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72A3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7873" w14:paraId="07FED0B6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EC1F" w14:textId="77777777" w:rsidR="002F7873" w:rsidRDefault="002F78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2108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D320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3456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AC8B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4083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7873" w14:paraId="6CE58069" w14:textId="77777777">
        <w:tc>
          <w:tcPr>
            <w:tcW w:w="198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97E7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8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6532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11730</w:t>
            </w:r>
          </w:p>
        </w:tc>
        <w:tc>
          <w:tcPr>
            <w:tcW w:w="1140" w:type="dxa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CE55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824C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89A7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140" w:type="dxa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C92D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98.71%</w:t>
            </w:r>
          </w:p>
        </w:tc>
      </w:tr>
      <w:tr w:rsidR="002F7873" w14:paraId="6248BF76" w14:textId="77777777">
        <w:tc>
          <w:tcPr>
            <w:tcW w:w="198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3DC6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9D16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2BC3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985B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9D99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Sensitivity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B573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99.643%</w:t>
            </w:r>
          </w:p>
        </w:tc>
      </w:tr>
      <w:tr w:rsidR="002F7873" w14:paraId="43C5A50F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0509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E4B6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0E07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22AC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EB56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2DB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9.09%</w:t>
            </w:r>
          </w:p>
        </w:tc>
      </w:tr>
      <w:tr w:rsidR="002F7873" w14:paraId="7EC8C07A" w14:textId="77777777">
        <w:trPr>
          <w:trHeight w:val="527"/>
        </w:trPr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0E6A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own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calculation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371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02F5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7A33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54.36%</w:t>
            </w:r>
          </w:p>
        </w:tc>
      </w:tr>
    </w:tbl>
    <w:p w14:paraId="1D27DC03" w14:textId="77777777" w:rsidR="002F7873" w:rsidRDefault="002F7873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01245" w14:textId="77777777" w:rsidR="002F7873" w:rsidRDefault="00000000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confusion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Random Forest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80"/>
        <w:gridCol w:w="1140"/>
        <w:gridCol w:w="1125"/>
        <w:gridCol w:w="2235"/>
        <w:gridCol w:w="1140"/>
      </w:tblGrid>
      <w:tr w:rsidR="002F7873" w14:paraId="6D5036E7" w14:textId="77777777">
        <w:trPr>
          <w:trHeight w:val="3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96DD" w14:textId="77777777" w:rsidR="002F7873" w:rsidRDefault="002F78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8629" w14:textId="16A51D44" w:rsidR="002F7873" w:rsidRDefault="00304C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9FA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7099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59E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BECA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7873" w14:paraId="7C062BA2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2EDC" w14:textId="77777777" w:rsidR="002F7873" w:rsidRDefault="002F78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79F9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2D4E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0019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952C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ADDF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7873" w14:paraId="44B7B5F4" w14:textId="77777777">
        <w:tc>
          <w:tcPr>
            <w:tcW w:w="198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EE13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8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0B13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11760</w:t>
            </w:r>
          </w:p>
        </w:tc>
        <w:tc>
          <w:tcPr>
            <w:tcW w:w="1140" w:type="dxa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85E9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12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035B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6704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140" w:type="dxa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DDB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98.95%</w:t>
            </w:r>
          </w:p>
        </w:tc>
      </w:tr>
      <w:tr w:rsidR="002F7873" w14:paraId="1D217BB9" w14:textId="77777777">
        <w:tc>
          <w:tcPr>
            <w:tcW w:w="198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25C9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692E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0FC2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5DAB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3AF1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Sensitivity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16E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99.89%</w:t>
            </w:r>
          </w:p>
        </w:tc>
      </w:tr>
      <w:tr w:rsidR="002F7873" w14:paraId="405273B5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34B6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EF0D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A3C1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21BE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4EF7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2482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7.44%</w:t>
            </w:r>
          </w:p>
        </w:tc>
      </w:tr>
      <w:tr w:rsidR="002F7873" w14:paraId="5216D275" w14:textId="77777777">
        <w:trPr>
          <w:trHeight w:val="527"/>
        </w:trPr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B07C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own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calculation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54B3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0DBA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62FA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53.66%</w:t>
            </w:r>
          </w:p>
        </w:tc>
      </w:tr>
    </w:tbl>
    <w:p w14:paraId="684151D2" w14:textId="77777777" w:rsidR="00712886" w:rsidRDefault="00712886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50F5E1" w14:textId="77EA07FC" w:rsidR="002F7873" w:rsidRDefault="00000000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confusion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Gradient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Boosting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Model</w:t>
      </w:r>
      <w:proofErr w:type="spellEnd"/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80"/>
        <w:gridCol w:w="1140"/>
        <w:gridCol w:w="1125"/>
        <w:gridCol w:w="2235"/>
        <w:gridCol w:w="1140"/>
      </w:tblGrid>
      <w:tr w:rsidR="002F7873" w14:paraId="5C2A82FA" w14:textId="77777777">
        <w:trPr>
          <w:trHeight w:val="3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A769" w14:textId="77777777" w:rsidR="002F7873" w:rsidRDefault="002F78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2590" w14:textId="7E3798F9" w:rsidR="002F7873" w:rsidRDefault="00304C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C48D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3AC2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CD5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4FAD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7873" w14:paraId="56D7A533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9692" w14:textId="77777777" w:rsidR="002F7873" w:rsidRDefault="002F78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5281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F52D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C924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456A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DD75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7873" w14:paraId="4714A056" w14:textId="77777777">
        <w:tc>
          <w:tcPr>
            <w:tcW w:w="198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6B3F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38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21EE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11434</w:t>
            </w:r>
          </w:p>
        </w:tc>
        <w:tc>
          <w:tcPr>
            <w:tcW w:w="1140" w:type="dxa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A3B1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2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9D7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86E3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140" w:type="dxa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8AF4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96.38%</w:t>
            </w:r>
          </w:p>
        </w:tc>
      </w:tr>
      <w:tr w:rsidR="002F7873" w14:paraId="36F557DB" w14:textId="77777777">
        <w:tc>
          <w:tcPr>
            <w:tcW w:w="198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DA15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457A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1140" w:type="dxa"/>
            <w:tcBorders>
              <w:top w:val="nil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17E3" w14:textId="77777777" w:rsidR="002F7873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2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2CA5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6CDD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Sensitivity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3998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97.12%</w:t>
            </w:r>
          </w:p>
        </w:tc>
      </w:tr>
      <w:tr w:rsidR="002F7873" w14:paraId="13843B71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4C04" w14:textId="77777777" w:rsidR="002F7873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1F06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26D7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AAC0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3468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5D84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23.97%</w:t>
            </w:r>
          </w:p>
        </w:tc>
      </w:tr>
      <w:tr w:rsidR="002F7873" w14:paraId="11E4BA12" w14:textId="77777777">
        <w:trPr>
          <w:trHeight w:val="527"/>
        </w:trPr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1127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own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calculation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DA5C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E96B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7A39" w14:textId="77777777" w:rsidR="002F787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60.54%</w:t>
            </w:r>
          </w:p>
        </w:tc>
      </w:tr>
    </w:tbl>
    <w:p w14:paraId="30873557" w14:textId="77777777" w:rsidR="002F7873" w:rsidRDefault="002F7873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60D5E" w14:textId="388B0B02" w:rsidR="002F7873" w:rsidRDefault="00000000" w:rsidP="00304C6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="00712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2886">
        <w:rPr>
          <w:rFonts w:ascii="Times New Roman" w:eastAsia="Times New Roman" w:hAnsi="Times New Roman" w:cs="Times New Roman"/>
          <w:sz w:val="24"/>
          <w:szCs w:val="24"/>
        </w:rPr>
        <w:t>primarily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1-4.).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</w:t>
      </w:r>
      <w:r w:rsidR="00304C6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against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4C65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304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4C65">
        <w:rPr>
          <w:rFonts w:ascii="Times New Roman" w:eastAsia="Times New Roman" w:hAnsi="Times New Roman" w:cs="Times New Roman"/>
          <w:sz w:val="24"/>
          <w:szCs w:val="24"/>
        </w:rPr>
        <w:t>respect</w:t>
      </w:r>
      <w:proofErr w:type="spellEnd"/>
      <w:r w:rsidR="00304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4C6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foremost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wanted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maximize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rather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specificity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chose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cut-off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Alternatively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chosen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maximize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specificity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ability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correctly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predict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firms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matter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debate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BA2EB" w14:textId="6592D0A8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overperformed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99.89 percent,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contrary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75.29 percent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ratio.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(97.12 percent)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slightly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overperformed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bagg</w:t>
      </w:r>
      <w:r w:rsidR="001F5243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(99.64 percent).</w:t>
      </w:r>
    </w:p>
    <w:p w14:paraId="3C75EE0F" w14:textId="2A0935D5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crucial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ratio).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71.90 percent, </w:t>
      </w:r>
      <w:proofErr w:type="spellStart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 w:rsidR="005D0D9E" w:rsidRPr="00AC3E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7.44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9.09 percent</w:t>
      </w:r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respectively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(23.97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ercent)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underperformed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overperformed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over-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regularization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ensemble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Furthermore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potentially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introduce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bias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estimation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C9017" w14:textId="094483BA" w:rsidR="000F36F8" w:rsidRDefault="00AC3E7B" w:rsidP="004A714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examining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importance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Fig</w:t>
      </w:r>
      <w:r w:rsidR="004A7142">
        <w:rPr>
          <w:rFonts w:ascii="Times New Roman" w:eastAsia="Times New Roman" w:hAnsi="Times New Roman" w:cs="Times New Roman"/>
          <w:sz w:val="24"/>
          <w:szCs w:val="24"/>
        </w:rPr>
        <w:t>ures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1-3.).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correspondences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Appendix.</w:t>
      </w:r>
    </w:p>
    <w:p w14:paraId="5DDC9926" w14:textId="185A67CB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denoted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Decrease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and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Decrease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Gini”. </w:t>
      </w:r>
    </w:p>
    <w:p w14:paraId="46C5E471" w14:textId="7F37CA05" w:rsidR="00AC3E7B" w:rsidRPr="004A7142" w:rsidRDefault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Decrease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plot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expresses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much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loses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excluding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. The more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suffers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successful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decrease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in Gini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coefficient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measure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lastRenderedPageBreak/>
        <w:t>variable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contributes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homogeneity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leaves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resulting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 w:rsidRPr="004A7142"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Pr="004A714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latter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Fig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. 1.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bagged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="000F36F8" w:rsidRPr="004A7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CED01E" w14:textId="7B16A0FF" w:rsidR="002F7873" w:rsidRDefault="00000000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related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Gini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consistent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expectations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Market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(X8_chg)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suggests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5243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1F5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be most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effectively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sub-datasets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looking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Market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firm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earnings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(X15_chg) is </w:t>
      </w:r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ought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emphasize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="000F36F8">
        <w:rPr>
          <w:rFonts w:ascii="Times New Roman" w:eastAsia="Times New Roman" w:hAnsi="Times New Roman" w:cs="Times New Roman"/>
          <w:sz w:val="24"/>
          <w:szCs w:val="24"/>
        </w:rPr>
        <w:t xml:space="preserve"> again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earnings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intuitive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intuitively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EBIT).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multicollinearity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 w:rsidR="00AC3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E7B">
        <w:rPr>
          <w:rFonts w:ascii="Times New Roman" w:eastAsia="Times New Roman" w:hAnsi="Times New Roman" w:cs="Times New Roman"/>
          <w:sz w:val="24"/>
          <w:szCs w:val="24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879A9" w14:textId="69079875" w:rsidR="000F36F8" w:rsidRDefault="000F36F8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X14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Liabilities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Market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E5F77" w14:textId="77777777" w:rsidR="000F36F8" w:rsidRDefault="000F36F8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FDDF07" w14:textId="77777777" w:rsidR="000F36F8" w:rsidRDefault="000F36F8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AA7C4" w14:textId="77777777" w:rsidR="000F36F8" w:rsidRDefault="000F36F8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C35FF" w14:textId="77777777" w:rsidR="000F36F8" w:rsidRDefault="000F36F8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B4BF6" w14:textId="77777777" w:rsidR="000F36F8" w:rsidRDefault="000F36F8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47D3B" w14:textId="77777777" w:rsidR="000F36F8" w:rsidRDefault="000F36F8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1EA9A" w14:textId="77777777" w:rsidR="000F36F8" w:rsidRDefault="000F36F8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DF23F" w14:textId="77777777" w:rsidR="000F36F8" w:rsidRDefault="000F36F8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1C726" w14:textId="77777777" w:rsidR="004A7142" w:rsidRDefault="004A7142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FC32AF" w14:textId="77777777" w:rsidR="004A7142" w:rsidRPr="00AC3E7B" w:rsidRDefault="004A7142" w:rsidP="00AC3E7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2EB5D" w14:textId="6BDA9948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Figure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Representation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1F5243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="001F524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36F8">
        <w:rPr>
          <w:rFonts w:ascii="Times New Roman" w:eastAsia="Times New Roman" w:hAnsi="Times New Roman" w:cs="Times New Roman"/>
          <w:i/>
          <w:sz w:val="24"/>
          <w:szCs w:val="24"/>
        </w:rPr>
        <w:t>bagged</w:t>
      </w:r>
      <w:proofErr w:type="spellEnd"/>
      <w:r w:rsidR="000F36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</w:t>
      </w:r>
      <w:proofErr w:type="spellEnd"/>
    </w:p>
    <w:p w14:paraId="1BC35ACE" w14:textId="65034E0D" w:rsidR="000F36F8" w:rsidRDefault="00000000" w:rsidP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6D35A351" wp14:editId="3DC7499F">
            <wp:extent cx="5734050" cy="34385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5540" b="-554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own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calculation</w:t>
      </w:r>
      <w:proofErr w:type="spellEnd"/>
    </w:p>
    <w:p w14:paraId="62956663" w14:textId="05FA1AB4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Feature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importance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0F36F8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="000F36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Bagging</w:t>
      </w:r>
      <w:proofErr w:type="spellEnd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>Regression</w:t>
      </w:r>
      <w:proofErr w:type="spellEnd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Model</w:t>
      </w:r>
      <w:proofErr w:type="spellEnd"/>
    </w:p>
    <w:p w14:paraId="1885CDEB" w14:textId="77777777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21602185" wp14:editId="7FF2AD1A">
            <wp:extent cx="4624388" cy="29011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22899" b="333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90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own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calculation</w:t>
      </w:r>
      <w:proofErr w:type="spellEnd"/>
    </w:p>
    <w:p w14:paraId="17EC851E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5AF826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395DB3" w14:textId="67BB8E9C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Figure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Feature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importance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 Random Forest</w:t>
      </w:r>
    </w:p>
    <w:p w14:paraId="13CC981D" w14:textId="77777777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1BE7AAB8" wp14:editId="218D1A74">
            <wp:extent cx="4599797" cy="28717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23529" b="3151"/>
                    <a:stretch>
                      <a:fillRect/>
                    </a:stretch>
                  </pic:blipFill>
                  <pic:spPr>
                    <a:xfrm>
                      <a:off x="0" y="0"/>
                      <a:ext cx="4599797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own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calculation</w:t>
      </w:r>
      <w:proofErr w:type="spellEnd"/>
    </w:p>
    <w:p w14:paraId="76B70635" w14:textId="1250CAE5" w:rsidR="002F7873" w:rsidRDefault="00000000" w:rsidP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Specificity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Sensitivity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of</w:t>
      </w:r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cut-off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>case</w:t>
      </w:r>
      <w:proofErr w:type="spellEnd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>Boosting</w:t>
      </w:r>
      <w:proofErr w:type="spellEnd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D0D9E">
        <w:rPr>
          <w:rFonts w:ascii="Times New Roman" w:eastAsia="Times New Roman" w:hAnsi="Times New Roman" w:cs="Times New Roman"/>
          <w:i/>
          <w:sz w:val="24"/>
          <w:szCs w:val="24"/>
        </w:rPr>
        <w:t>model</w:t>
      </w:r>
      <w:proofErr w:type="spellEnd"/>
    </w:p>
    <w:p w14:paraId="66762599" w14:textId="77777777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3CA42A" wp14:editId="5A72B8CC">
            <wp:extent cx="3700463" cy="327679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10314" b="3146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276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own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calculation</w:t>
      </w:r>
      <w:proofErr w:type="spellEnd"/>
    </w:p>
    <w:p w14:paraId="319A48D9" w14:textId="77777777" w:rsidR="000F36F8" w:rsidRDefault="000F36F8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BE6BF" w14:textId="77777777" w:rsidR="000F36F8" w:rsidRDefault="000F36F8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D52A5" w14:textId="06E973CB" w:rsidR="002F7873" w:rsidRDefault="00000000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Summary</w:t>
      </w:r>
      <w:proofErr w:type="spellEnd"/>
    </w:p>
    <w:p w14:paraId="11A86BA5" w14:textId="77F7349B" w:rsidR="002F787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19-year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thousand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NYSE and NASDAQ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of overall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appropriate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bankrupt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firms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achieved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bagging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indicate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potential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overfitting in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subpar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cut-off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142">
        <w:rPr>
          <w:rFonts w:ascii="Times New Roman" w:eastAsia="Times New Roman" w:hAnsi="Times New Roman" w:cs="Times New Roman"/>
          <w:sz w:val="24"/>
          <w:szCs w:val="24"/>
        </w:rPr>
        <w:t>regard</w:t>
      </w:r>
      <w:proofErr w:type="spellEnd"/>
      <w:r w:rsidR="004A7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C0A3C" w14:textId="77777777" w:rsidR="00304C65" w:rsidRDefault="00304C6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F0787" w14:textId="77777777" w:rsidR="00304C65" w:rsidRDefault="00304C6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6157C" w14:textId="77777777" w:rsidR="00304C65" w:rsidRDefault="00304C6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C56C2" w14:textId="77777777" w:rsidR="00304C65" w:rsidRDefault="00304C6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27433" w14:textId="77777777" w:rsidR="00304C65" w:rsidRDefault="00304C6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8D00B" w14:textId="77777777" w:rsidR="00304C65" w:rsidRDefault="00304C6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9849DD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215D1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ED4A2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04F15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7D25F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94B48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345639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7EBF88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85C7A7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72BC3F" w14:textId="77777777" w:rsidR="000F36F8" w:rsidRDefault="000F36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4D66F" w14:textId="40A6A7B8" w:rsidR="00304C65" w:rsidRDefault="00304C65" w:rsidP="005D0D9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D9E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Correspondence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</w:p>
    <w:p w14:paraId="05365B68" w14:textId="41588E8D" w:rsidR="002F7873" w:rsidRDefault="005D0D9E" w:rsidP="005D0D9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6199D3" wp14:editId="2457355B">
            <wp:extent cx="2486025" cy="3657600"/>
            <wp:effectExtent l="0" t="0" r="9525" b="0"/>
            <wp:docPr id="165550611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6115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15D5CAE" w14:textId="77777777" w:rsidR="002F7873" w:rsidRPr="00272BFF" w:rsidRDefault="00000000" w:rsidP="00272BFF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72BF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Bibliography</w:t>
      </w:r>
      <w:proofErr w:type="spellEnd"/>
      <w:r w:rsidRPr="00272B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BFFA3E" w14:textId="77777777" w:rsidR="002F7873" w:rsidRDefault="0000000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Barboza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Flavio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.”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Expert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Systems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83,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2017, pp. 405–417,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https://doi.org/10.1016/j.eswa.2017.04.006.</w:t>
      </w:r>
    </w:p>
    <w:p w14:paraId="32F000DB" w14:textId="77777777" w:rsidR="002F7873" w:rsidRDefault="0000000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Chen,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-Yen.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Comparing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Traditional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Statistics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Decision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Support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Financial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.”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Intelligent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Automation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Soft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18, no. 1, Jan. 2012, pp. 65–73, https://doi.org/10.1080/10798587.2012.10643227. Accessed 3 Mar. 2019.</w:t>
      </w:r>
    </w:p>
    <w:p w14:paraId="3C5D8D6D" w14:textId="77777777" w:rsidR="002F7873" w:rsidRDefault="0000000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Devi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Sarojini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and Y.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Radhika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“A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Survey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Statistical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.” International Journal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8, no. 2,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2018, pp. 133–139, https://doi.org/10.18178/ijmlc.2018.8.2.676.</w:t>
      </w:r>
    </w:p>
    <w:p w14:paraId="6C076D74" w14:textId="77777777" w:rsidR="002F7873" w:rsidRDefault="0000000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“US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.” Www.kaggle.com, www.kaggle.com/datasets/utkarshx27/american-companies-bankruptcy-prediction-dataset/data?fbclid=IwAR00N6E4fd1B_zSg0fpcFdI-8Kwdrg4ChXS9PwJNMSQ048VHJ3vLI9QlZ5g. Accessed 16 Dec. 2023.</w:t>
      </w:r>
    </w:p>
    <w:p w14:paraId="73FEF9B1" w14:textId="77777777" w:rsidR="002F7873" w:rsidRDefault="0000000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Nanxi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.” Journal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Mathematical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Finance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07, no. 04, 2017, pp. 908–918, https://doi.org/10.4236/jmf.2017.74049. Accessed 3 Mar. 2019.</w:t>
      </w:r>
    </w:p>
    <w:p w14:paraId="17BDF390" w14:textId="77777777" w:rsidR="002F7873" w:rsidRDefault="00000000">
      <w:pPr>
        <w:spacing w:line="480" w:lineRule="auto"/>
        <w:ind w:left="720"/>
        <w:jc w:val="both"/>
        <w:rPr>
          <w:b/>
          <w:color w:val="333333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Zięba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Maciej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Ensemble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Boosted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Synthetic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Generation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Bankruptcy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Prediction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.”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Expert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Systems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58,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2016, pp. 93–101, www.sciencedirect.com/science/article/pii/S0957417416301592, https://doi.org/10.1016/j.eswa.2016.04.001.</w:t>
      </w:r>
    </w:p>
    <w:sectPr w:rsidR="002F787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873"/>
    <w:rsid w:val="000F36F8"/>
    <w:rsid w:val="001F5243"/>
    <w:rsid w:val="00272BFF"/>
    <w:rsid w:val="002F7873"/>
    <w:rsid w:val="00304C65"/>
    <w:rsid w:val="004A7142"/>
    <w:rsid w:val="00524443"/>
    <w:rsid w:val="005B756A"/>
    <w:rsid w:val="005D0D9E"/>
    <w:rsid w:val="00712886"/>
    <w:rsid w:val="00AC3E7B"/>
    <w:rsid w:val="00DA4322"/>
    <w:rsid w:val="00E2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205A"/>
  <w15:docId w15:val="{37EE125A-6719-4AA3-8A04-03001183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272B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272BF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72BFF"/>
    <w:rPr>
      <w:color w:val="0000FF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272BF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272BF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0431-1FD4-4C2E-BDDD-83CD8B85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2311</Words>
  <Characters>15952</Characters>
  <Application>Microsoft Office Word</Application>
  <DocSecurity>0</DocSecurity>
  <Lines>132</Lines>
  <Paragraphs>36</Paragraphs>
  <ScaleCrop>false</ScaleCrop>
  <Company/>
  <LinksUpToDate>false</LinksUpToDate>
  <CharactersWithSpaces>18227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laptop</dc:creator>
  <cp:lastModifiedBy>Szabó Gábor Zsolt</cp:lastModifiedBy>
  <cp:revision>5</cp:revision>
  <dcterms:created xsi:type="dcterms:W3CDTF">2023-12-20T02:11:00Z</dcterms:created>
  <dcterms:modified xsi:type="dcterms:W3CDTF">2023-12-20T02:28:00Z</dcterms:modified>
</cp:coreProperties>
</file>