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160"/>
        <w:jc w:val="center"/>
      </w:pPr>
      <w:r>
        <w:rPr>
          <w:rFonts w:ascii="Arial" w:cs="Arial" w:eastAsia="Arial" w:hAnsi="Arial"/>
          <w:b/>
          <w:bCs/>
          <w:color w:val="2E86C1"/>
          <w:sz w:val="22"/>
          <w:szCs w:val="22"/>
        </w:rPr>
        <w:t xml:space="preserve">PRODUCT REQUIREMENTS DOCUMENT</w:t>
      </w:r>
    </w:p>
    <w:p>
      <w:pPr>
        <w:pBdr>
          <w:bottom w:val="single" w:color="1B4F72" w:sz="6" w:space="8"/>
        </w:pBdr>
        <w:spacing w:after="80"/>
        <w:jc w:val="center"/>
      </w:pPr>
      <w:r>
        <w:rPr>
          <w:rFonts w:ascii="Arial" w:cs="Arial" w:eastAsia="Arial" w:hAnsi="Arial"/>
          <w:b/>
          <w:bCs/>
          <w:color w:val="1B4F72"/>
          <w:sz w:val="56"/>
          <w:szCs w:val="56"/>
        </w:rPr>
        <w:t xml:space="preserve">HomeScore AI</w:t>
      </w:r>
    </w:p>
    <w:p>
      <w:pPr>
        <w:spacing w:before="200" w:after="80"/>
        <w:jc w:val="center"/>
      </w:pPr>
      <w:r>
        <w:rPr>
          <w:rFonts w:ascii="Arial" w:cs="Arial" w:eastAsia="Arial" w:hAnsi="Arial"/>
          <w:i/>
          <w:iCs/>
          <w:color w:val="2E86C1"/>
          <w:sz w:val="32"/>
          <w:szCs w:val="32"/>
        </w:rPr>
        <w:t xml:space="preserve">Version 1.1  —  Build-Ready Addendum</w:t>
      </w:r>
    </w:p>
    <w:p>
      <w:pPr>
        <w:spacing w:after="400"/>
        <w:jc w:val="center"/>
      </w:pPr>
      <w:r>
        <w:rPr>
          <w:rFonts w:ascii="Arial" w:cs="Arial" w:eastAsia="Arial" w:hAnsi="Arial"/>
          <w:color w:val="666666"/>
          <w:sz w:val="20"/>
          <w:szCs w:val="20"/>
        </w:rPr>
        <w:t xml:space="preserve">Addressing: MVP Scope Lock, Scoring Spec, Data Feasibility,
AI Safety, Unit Economics &amp; Operational Readiness</w:t>
      </w:r>
    </w:p>
    <w:p>
      <w:pPr>
        <w:spacing w:after="80"/>
        <w:jc w:val="center"/>
      </w:pPr>
      <w:r>
        <w:rPr>
          <w:rFonts w:ascii="Arial" w:cs="Arial" w:eastAsia="Arial" w:hAnsi="Arial"/>
          <w:b/>
          <w:bCs/>
          <w:color w:val="D35400"/>
          <w:sz w:val="18"/>
          <w:szCs w:val="18"/>
        </w:rPr>
        <w:t xml:space="preserve">February 2026  |  CONFIDENTIAL</w:t>
      </w:r>
    </w:p>
    <w:p>
      <w:pPr>
        <w:spacing w:before="600"/>
        <w:jc w:val="center"/>
      </w:pPr>
      <w:r>
        <w:rPr>
          <w:rFonts w:ascii="Arial" w:cs="Arial" w:eastAsia="Arial" w:hAnsi="Arial"/>
          <w:i/>
          <w:iCs/>
          <w:color w:val="999999"/>
          <w:sz w:val="18"/>
          <w:szCs w:val="18"/>
        </w:rPr>
        <w:t xml:space="preserve">This document supersedes relevant sections of PRD v1.0.
Read alongside v1.0 for full context.</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4F72"/>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4F72"/>
          <w:sz w:val="32"/>
          <w:szCs w:val="32"/>
        </w:rPr>
        <w:t xml:space="preserve">1. Change Log &amp; Critique Response Matrix</w:t>
      </w:r>
    </w:p>
    <w:p>
      <w:pPr>
        <w:spacing w:after="160" w:line="276"/>
      </w:pPr>
      <w:r>
        <w:rPr>
          <w:rFonts w:ascii="Arial" w:cs="Arial" w:eastAsia="Arial" w:hAnsi="Arial"/>
          <w:sz w:val="21"/>
          <w:szCs w:val="21"/>
        </w:rPr>
        <w:t xml:space="preserve">This addendum directly addresses each critical finding from the v1.0 review. The following matrix maps every critique to its resolution, ensuring nothing falls through the cracks.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600"/>
        <w:gridCol w:w="1560"/>
        <w:gridCol w:w="2080"/>
        <w:gridCol w:w="2340"/>
      </w:tblGrid>
      <w:tr>
        <w:tc>
          <w:tcPr>
            <w:tcW w:type="dxa" w:w="7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Critique</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Severity</w:t>
            </w:r>
          </w:p>
        </w:tc>
        <w:tc>
          <w:tcPr>
            <w:tcW w:type="dxa" w:w="20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Resolution</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Section</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MVP scope too big for 6 months</w:t>
            </w:r>
          </w:p>
        </w:tc>
        <w:tc>
          <w:tcPr>
            <w:tcW w:type="dxa" w:w="15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Critical</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Scope locked to wedge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§2 MVP Scope Lock</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 feasibility under-specified</w:t>
            </w:r>
          </w:p>
        </w:tc>
        <w:tc>
          <w:tcPr>
            <w:tcW w:type="dxa" w:w="15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Critical</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Full coverage matrix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§3 Data Coverage</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Score needs formal definition</w:t>
            </w:r>
          </w:p>
        </w:tc>
        <w:tc>
          <w:tcPr>
            <w:tcW w:type="dxa" w:w="15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Critical</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Score v0 math spec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§4 Scoring Spec</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Regulatory/fairness not operationalized</w:t>
            </w:r>
          </w:p>
        </w:tc>
        <w:tc>
          <w:tcPr>
            <w:tcW w:type="dxa" w:w="1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High</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Policy + guardrails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§5 Fairness Policy</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LLM risk controls not designed</w:t>
            </w:r>
          </w:p>
        </w:tc>
        <w:tc>
          <w:tcPr>
            <w:tcW w:type="dxa" w:w="1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High</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Structured output contract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§6 AI Safety Spec</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GTM targets lack sensitivity analysis</w:t>
            </w:r>
          </w:p>
        </w:tc>
        <w:tc>
          <w:tcPr>
            <w:tcW w:type="dxa" w:w="1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High</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Unit economics model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§7 Unit Economics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Features lack testable requirements</w:t>
            </w:r>
          </w:p>
        </w:tc>
        <w:tc>
          <w:tcPr>
            <w:tcW w:type="dxa" w:w="1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Medium</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Acceptance criteria added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§8 Requirements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 golden path user journey</w:t>
            </w:r>
          </w:p>
        </w:tc>
        <w:tc>
          <w:tcPr>
            <w:tcW w:type="dxa" w:w="1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Medium</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Canonical journey defined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§9 Golden Path</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 measurement/instrumentation plan</w:t>
            </w:r>
          </w:p>
        </w:tc>
        <w:tc>
          <w:tcPr>
            <w:tcW w:type="dxa" w:w="1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Medium</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Event taxonomy + dashboards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§10 Instrumentation</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LiDAR premature in MVP</w:t>
            </w:r>
          </w:p>
        </w:tc>
        <w:tc>
          <w:tcPr>
            <w:tcW w:type="dxa" w:w="1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Medium</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Deferred to v1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§2.3 Deferrals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 operational readiness plan</w:t>
            </w:r>
          </w:p>
        </w:tc>
        <w:tc>
          <w:tcPr>
            <w:tcW w:type="dxa" w:w="1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Medium</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Support playbooks added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§11 Ops Readiness</w:t>
            </w:r>
          </w:p>
        </w:tc>
      </w:tr>
    </w:tbl>
    <w:p>
      <w:pPr>
        <w:spacing w:after="80"/>
      </w:pPr>
    </w:p>
    <w:p>
      <w:r>
        <w:br w:type="page"/>
      </w:r>
    </w:p>
    <w:p>
      <w:pPr>
        <w:pStyle w:val="Heading1"/>
        <w:spacing w:before="360" w:after="200"/>
      </w:pPr>
      <w:r>
        <w:rPr>
          <w:rFonts w:ascii="Arial" w:cs="Arial" w:eastAsia="Arial" w:hAnsi="Arial"/>
          <w:b/>
          <w:bCs/>
          <w:color w:val="1B4F72"/>
          <w:sz w:val="32"/>
          <w:szCs w:val="32"/>
        </w:rPr>
        <w:t xml:space="preserve">2. MVP Scope Lock (Months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2"/>
              <w:bottom w:val="single" w:color="2E86C1" w:sz="1"/>
              <w:right w:val="single" w:color="2E86C1" w:sz="1"/>
            </w:tcBorders>
            <w:shd w:fill="D6EAF8" w:val="clear"/>
            <w:tcMar>
              <w:top w:type="dxa" w:w="120"/>
              <w:left w:type="dxa" w:w="200"/>
              <w:bottom w:type="dxa" w:w="120"/>
              <w:right w:type="dxa" w:w="200"/>
            </w:tcMar>
          </w:tcPr>
          <w:p>
            <w:pPr>
              <w:spacing w:after="60"/>
            </w:pPr>
            <w:r>
              <w:rPr>
                <w:rFonts w:ascii="Arial" w:cs="Arial" w:eastAsia="Arial" w:hAnsi="Arial"/>
                <w:b/>
                <w:bCs/>
                <w:color w:val="2E86C1"/>
                <w:sz w:val="21"/>
                <w:szCs w:val="21"/>
              </w:rPr>
              <w:t xml:space="preserve">MVP PROMISE</w:t>
            </w:r>
          </w:p>
          <w:p>
            <w:pPr>
              <w:spacing w:after="0"/>
            </w:pPr>
            <w:r>
              <w:rPr>
                <w:rFonts w:ascii="Arial" w:cs="Arial" w:eastAsia="Arial" w:hAnsi="Arial"/>
                <w:sz w:val="20"/>
                <w:szCs w:val="20"/>
              </w:rPr>
              <w:t xml:space="preserve">"In 3 minutes, tell me if this house is a fit and what could bankrupt my happiness."</w:t>
            </w:r>
          </w:p>
        </w:tc>
      </w:tr>
    </w:tbl>
    <w:p>
      <w:pPr>
        <w:spacing w:after="80"/>
      </w:pPr>
    </w:p>
    <w:p>
      <w:pPr>
        <w:pStyle w:val="Heading2"/>
        <w:spacing w:before="280" w:after="160"/>
      </w:pPr>
      <w:r>
        <w:rPr>
          <w:rFonts w:ascii="Arial" w:cs="Arial" w:eastAsia="Arial" w:hAnsi="Arial"/>
          <w:b/>
          <w:bCs/>
          <w:color w:val="2E86C1"/>
          <w:sz w:val="26"/>
          <w:szCs w:val="26"/>
        </w:rPr>
        <w:t xml:space="preserve">2.1 MVP Outcome Definition</w:t>
      </w:r>
    </w:p>
    <w:p>
      <w:pPr>
        <w:spacing w:after="160" w:line="276"/>
      </w:pPr>
      <w:r>
        <w:rPr>
          <w:rFonts w:ascii="Arial" w:cs="Arial" w:eastAsia="Arial" w:hAnsi="Arial"/>
          <w:sz w:val="21"/>
          <w:szCs w:val="21"/>
        </w:rPr>
        <w:t xml:space="preserve">The MVP delivers one repeatable end-to-end wedge: a user inputs a property address or listing URL, answers a lightweight preference questionnaire, and within minutes receives a personalized score with confidence band, a top-5 risk summary, a true monthly cost range, and clear next-step guidance. The MVP must feel complete and trustworthy on its narrow scope, not half-built on a broad scope.</w:t>
      </w:r>
    </w:p>
    <w:p>
      <w:pPr>
        <w:pStyle w:val="Heading2"/>
        <w:spacing w:before="280" w:after="160"/>
      </w:pPr>
      <w:r>
        <w:rPr>
          <w:rFonts w:ascii="Arial" w:cs="Arial" w:eastAsia="Arial" w:hAnsi="Arial"/>
          <w:b/>
          <w:bCs/>
          <w:color w:val="2E86C1"/>
          <w:sz w:val="26"/>
          <w:szCs w:val="26"/>
        </w:rPr>
        <w:t xml:space="preserve">2.2 MVP Feature Table: In vs.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040"/>
        <w:gridCol w:w="1040"/>
        <w:gridCol w:w="1040"/>
        <w:gridCol w:w="2340"/>
      </w:tblGrid>
      <w:tr>
        <w:tc>
          <w:tcPr>
            <w:tcW w:type="dxa" w:w="3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Feature</w:t>
            </w:r>
          </w:p>
        </w:tc>
        <w:tc>
          <w:tcPr>
            <w:tcW w:type="dxa" w:w="10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MVP</w:t>
            </w:r>
          </w:p>
        </w:tc>
        <w:tc>
          <w:tcPr>
            <w:tcW w:type="dxa" w:w="10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v1</w:t>
            </w:r>
          </w:p>
        </w:tc>
        <w:tc>
          <w:tcPr>
            <w:tcW w:type="dxa" w:w="10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v2</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Rationale</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Preferences Questionnaire (light: 12–15 questions)</w:t>
            </w:r>
          </w:p>
        </w:tc>
        <w:tc>
          <w:tcPr>
            <w:tcW w:type="dxa" w:w="10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Yes</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Core to scoring</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Listing Import via URL/Address</w:t>
            </w:r>
          </w:p>
        </w:tc>
        <w:tc>
          <w:tcPr>
            <w:tcW w:type="dxa" w:w="10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Yes</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Lowest friction entry</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Direct MLS/RETS Feed Integration</w:t>
            </w:r>
          </w:p>
        </w:tc>
        <w:tc>
          <w:tcPr>
            <w:tcW w:type="dxa" w:w="10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10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Yes</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High dependency risk; URL parse + public APIs first</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Listings Organizer (cards, notes, status)</w:t>
            </w:r>
          </w:p>
        </w:tc>
        <w:tc>
          <w:tcPr>
            <w:tcW w:type="dxa" w:w="10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Yes</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Core comparison workflow</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User Photo Upload + Gallery</w:t>
            </w:r>
          </w:p>
        </w:tc>
        <w:tc>
          <w:tcPr>
            <w:tcW w:type="dxa" w:w="10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Yes</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Essential tour companion</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User Ratings (structured 5-dimension)</w:t>
            </w:r>
          </w:p>
        </w:tc>
        <w:tc>
          <w:tcPr>
            <w:tcW w:type="dxa" w:w="10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Yes</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Feeds into score</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LiDAR Floor Plans</w:t>
            </w:r>
          </w:p>
        </w:tc>
        <w:tc>
          <w:tcPr>
            <w:tcW w:type="dxa" w:w="10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10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Yes</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Heavy; iOS-only; delight not core</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Transaction Cost / Monthly Payment Calc</w:t>
            </w:r>
          </w:p>
        </w:tc>
        <w:tc>
          <w:tcPr>
            <w:tcW w:type="dxa" w:w="10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Yes</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Core financial clarity</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Commute Evaluator (basic: drive + transit)</w:t>
            </w:r>
          </w:p>
        </w:tc>
        <w:tc>
          <w:tcPr>
            <w:tcW w:type="dxa" w:w="10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Yes</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High user value; API straightforward</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Commute Evaluator (multi-mode, cost est.)</w:t>
            </w:r>
          </w:p>
        </w:tc>
        <w:tc>
          <w:tcPr>
            <w:tcW w:type="dxa" w:w="10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10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Yes</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Enhancement</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Listing Sleuth: Flood/Fire/Climate Risk</w:t>
            </w:r>
          </w:p>
        </w:tc>
        <w:tc>
          <w:tcPr>
            <w:tcW w:type="dxa" w:w="10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Yes</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Reliable federal data (FEMA, USGS)</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Listing Sleuth: Permit History</w:t>
            </w:r>
          </w:p>
        </w:tc>
        <w:tc>
          <w:tcPr>
            <w:tcW w:type="dxa" w:w="10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Yes*</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*Tier 1 counties only (see §3)</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Listing Sleuth: Noise/Proximity Analysis</w:t>
            </w:r>
          </w:p>
        </w:tc>
        <w:tc>
          <w:tcPr>
            <w:tcW w:type="dxa" w:w="10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Yes</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Computable from geo data</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Listing Sleuth: Crime/Safety Trends</w:t>
            </w:r>
          </w:p>
        </w:tc>
        <w:tc>
          <w:tcPr>
            <w:tcW w:type="dxa" w:w="10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10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Yes</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Data quality varies; defer to reliable</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Listing Sleuth: Zoning Change Detection</w:t>
            </w:r>
          </w:p>
        </w:tc>
        <w:tc>
          <w:tcPr>
            <w:tcW w:type="dxa" w:w="10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10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Yes</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Requires municipal data pipelines</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Listing Sleuth: HOA Deep Analysis</w:t>
            </w:r>
          </w:p>
        </w:tc>
        <w:tc>
          <w:tcPr>
            <w:tcW w:type="dxa" w:w="10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10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Data extremely fragmented</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Listing Sleuth: Sex Offender Proximity</w:t>
            </w:r>
          </w:p>
        </w:tc>
        <w:tc>
          <w:tcPr>
            <w:tcW w:type="dxa" w:w="10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10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Fairness/legal review required first</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Score v0 (weighted sum + confidence band)</w:t>
            </w:r>
          </w:p>
        </w:tc>
        <w:tc>
          <w:tcPr>
            <w:tcW w:type="dxa" w:w="10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Yes</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Core output</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AI Pro/Con List (top 5 reasons)</w:t>
            </w:r>
          </w:p>
        </w:tc>
        <w:tc>
          <w:tcPr>
            <w:tcW w:type="dxa" w:w="10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Yes</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Core output; grounded generation</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Inspection Report Summary Tool</w:t>
            </w:r>
          </w:p>
        </w:tc>
        <w:tc>
          <w:tcPr>
            <w:tcW w:type="dxa" w:w="10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10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Yes</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Needs strong doc pipeline</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Value Estimator (improvement costs)</w:t>
            </w:r>
          </w:p>
        </w:tc>
        <w:tc>
          <w:tcPr>
            <w:tcW w:type="dxa" w:w="10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10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Yes</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Requires contractor rate data</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Shareable PDF Report (simple)</w:t>
            </w:r>
          </w:p>
        </w:tc>
        <w:tc>
          <w:tcPr>
            <w:tcW w:type="dxa" w:w="10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Yes</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Key virality + trust mechanism</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Shareable Report (branded, detailed)</w:t>
            </w:r>
          </w:p>
        </w:tc>
        <w:tc>
          <w:tcPr>
            <w:tcW w:type="dxa" w:w="10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10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Yes</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Enhancement</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Open House Scheduler + Calendar Sync</w:t>
            </w:r>
          </w:p>
        </w:tc>
        <w:tc>
          <w:tcPr>
            <w:tcW w:type="dxa" w:w="10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10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Yes</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Nice-to-have; not decision engine</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Offline Mode (notes + photos)</w:t>
            </w:r>
          </w:p>
        </w:tc>
        <w:tc>
          <w:tcPr>
            <w:tcW w:type="dxa" w:w="10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Yes</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Essential for tour context</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Full Preferences (deep, branching, 40+ Q)</w:t>
            </w:r>
          </w:p>
        </w:tc>
        <w:tc>
          <w:tcPr>
            <w:tcW w:type="dxa" w:w="10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10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Yes</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Light version sufficient for v0 score</w:t>
            </w:r>
          </w:p>
        </w:tc>
      </w:tr>
    </w:tbl>
    <w:p>
      <w:pPr>
        <w:spacing w:after="80"/>
      </w:pPr>
    </w:p>
    <w:p>
      <w:pPr>
        <w:pStyle w:val="Heading2"/>
        <w:spacing w:before="280" w:after="160"/>
      </w:pPr>
      <w:r>
        <w:rPr>
          <w:rFonts w:ascii="Arial" w:cs="Arial" w:eastAsia="Arial" w:hAnsi="Arial"/>
          <w:b/>
          <w:bCs/>
          <w:color w:val="2E86C1"/>
          <w:sz w:val="26"/>
          <w:szCs w:val="26"/>
        </w:rPr>
        <w:t xml:space="preserve">2.3 Deferred Features: Rationale</w:t>
      </w:r>
    </w:p>
    <w:p>
      <w:pPr>
        <w:spacing w:after="160" w:line="276"/>
      </w:pPr>
      <w:r>
        <w:rPr>
          <w:rFonts w:ascii="Arial" w:cs="Arial" w:eastAsia="Arial" w:hAnsi="Arial"/>
          <w:b/>
          <w:bCs/>
          <w:sz w:val="21"/>
          <w:szCs w:val="21"/>
        </w:rPr>
        <w:t xml:space="preserve">LiDAR Floor Plans: </w:t>
      </w:r>
      <w:r>
        <w:rPr>
          <w:rFonts w:ascii="Arial" w:cs="Arial" w:eastAsia="Arial" w:hAnsi="Arial"/>
          <w:sz w:val="21"/>
          <w:szCs w:val="21"/>
        </w:rPr>
        <w:t xml:space="preserve">Deferred from MVP to v1. LiDAR is iOS Pro-only hardware, creating platform bias. It requires significant engineering for point cloud processing and room stitching. More importantly, it is a "delight" feature that does not contribute to the core value proposition of risk identification and decision support. Tour-mode with photos and structured checklists delivers 80% of the touring value at 20% of the cost.</w:t>
      </w:r>
    </w:p>
    <w:p>
      <w:pPr>
        <w:spacing w:after="160" w:line="276"/>
      </w:pPr>
      <w:r>
        <w:rPr>
          <w:rFonts w:ascii="Arial" w:cs="Arial" w:eastAsia="Arial" w:hAnsi="Arial"/>
          <w:b/>
          <w:bCs/>
          <w:sz w:val="21"/>
          <w:szCs w:val="21"/>
        </w:rPr>
        <w:t xml:space="preserve">MLS/RETS Direct Integration: </w:t>
      </w:r>
      <w:r>
        <w:rPr>
          <w:rFonts w:ascii="Arial" w:cs="Arial" w:eastAsia="Arial" w:hAnsi="Arial"/>
          <w:sz w:val="21"/>
          <w:szCs w:val="21"/>
        </w:rPr>
        <w:t xml:space="preserve">Deferred from MVP to v1. MLS data access involves complex licensing negotiations, RESO compliance, and varies by market. For MVP, we support listing import via URL parsing (Zillow, Redfin, Realtor.com) and direct address entry with public records lookup. This eliminates the highest dependency risk flagged in v1.0 while still delivering the core workflow.</w:t>
      </w:r>
    </w:p>
    <w:p>
      <w:pPr>
        <w:spacing w:after="160" w:line="276"/>
      </w:pPr>
      <w:r>
        <w:rPr>
          <w:rFonts w:ascii="Arial" w:cs="Arial" w:eastAsia="Arial" w:hAnsi="Arial"/>
          <w:b/>
          <w:bCs/>
          <w:sz w:val="21"/>
          <w:szCs w:val="21"/>
        </w:rPr>
        <w:t xml:space="preserve">HOA Deep Analysis: </w:t>
      </w:r>
      <w:r>
        <w:rPr>
          <w:rFonts w:ascii="Arial" w:cs="Arial" w:eastAsia="Arial" w:hAnsi="Arial"/>
          <w:sz w:val="21"/>
          <w:szCs w:val="21"/>
        </w:rPr>
        <w:t xml:space="preserve">Deferred to v2. HOA financial data (budgets, reserves, litigation, special assessments) is extremely fragmented. There is no centralized database. Data acquisition requires document-level NLP on PDFs that are not standardized. The false-positive risk is high and the trust impact of a wrong finding is severe. We will build toward this incrementally, starting with basic HOA fee display in v1.</w:t>
      </w:r>
    </w:p>
    <w:p>
      <w:pPr>
        <w:pStyle w:val="Heading2"/>
        <w:spacing w:before="280" w:after="160"/>
      </w:pPr>
      <w:r>
        <w:rPr>
          <w:rFonts w:ascii="Arial" w:cs="Arial" w:eastAsia="Arial" w:hAnsi="Arial"/>
          <w:b/>
          <w:bCs/>
          <w:color w:val="2E86C1"/>
          <w:sz w:val="26"/>
          <w:szCs w:val="26"/>
        </w:rPr>
        <w:t xml:space="preserve">2.4 MVP 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Milestone</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Week</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Deliverables</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Exit Criteria</w:t>
            </w:r>
          </w:p>
        </w:tc>
      </w:tr>
      <w:tr>
        <w:tc>
          <w:tcPr>
            <w:tcW w:type="dxa" w:w="1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M1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Wk 1–4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Infra + data pipeline scaffold; preferences questionnaire v0; address parser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Can parse 90% of Zillow/Redfin URLs; questionnaire generates weight vector</w:t>
            </w:r>
          </w:p>
        </w:tc>
      </w:tr>
      <w:tr>
        <w:tc>
          <w:tcPr>
            <w:tcW w:type="dxa" w:w="1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M2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Wk 5–8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Listing Sleuth v0 (flood + fire + noise); financial calc engine; score engine v0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Sleuth returns results for Tier 1 counties; score produces range with confidence</w:t>
            </w:r>
          </w:p>
        </w:tc>
      </w:tr>
      <w:tr>
        <w:tc>
          <w:tcPr>
            <w:tcW w:type="dxa" w:w="1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M3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Wk 9–14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Listings organizer + photos; pro/con generator; comparison view; PDF report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End-to-end golden path works; PDF generates correctly</w:t>
            </w:r>
          </w:p>
        </w:tc>
      </w:tr>
      <w:tr>
        <w:tc>
          <w:tcPr>
            <w:tcW w:type="dxa" w:w="1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M4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Wk 15–18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Permit history module (Tier 1 only); commute evaluator; offline mode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Permit data for SF/SM/SC counties; commute times within 10% of Google Maps</w:t>
            </w:r>
          </w:p>
        </w:tc>
      </w:tr>
      <w:tr>
        <w:tc>
          <w:tcPr>
            <w:tcW w:type="dxa" w:w="1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M5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Wk 19–22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Beta onboarding; UX polish; load testing; data accuracy validation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500+ beta users onboarded; NPS &gt;30; Sleuth accuracy &gt;80%</w:t>
            </w:r>
          </w:p>
        </w:tc>
      </w:tr>
      <w:tr>
        <w:tc>
          <w:tcPr>
            <w:tcW w:type="dxa" w:w="1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M6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Wk 23–26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Bug fixes; feedback iteration; beta expansion to 1,000; scoring calibration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1,000 testers; 40% D7 retention; score calibration validated</w:t>
            </w:r>
          </w:p>
        </w:tc>
      </w:tr>
    </w:tbl>
    <w:p>
      <w:pPr>
        <w:spacing w:after="80"/>
      </w:pPr>
    </w:p>
    <w:p>
      <w:r>
        <w:br w:type="page"/>
      </w:r>
    </w:p>
    <w:p>
      <w:pPr>
        <w:pStyle w:val="Heading1"/>
        <w:spacing w:before="360" w:after="200"/>
      </w:pPr>
      <w:r>
        <w:rPr>
          <w:rFonts w:ascii="Arial" w:cs="Arial" w:eastAsia="Arial" w:hAnsi="Arial"/>
          <w:b/>
          <w:bCs/>
          <w:color w:val="1B4F72"/>
          <w:sz w:val="32"/>
          <w:szCs w:val="32"/>
        </w:rPr>
        <w:t xml:space="preserve">3. Data Source Coverage &amp; Reliability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2"/>
              <w:bottom w:val="single" w:color="C0392B" w:sz="1"/>
              <w:right w:val="single" w:color="C0392B" w:sz="1"/>
            </w:tcBorders>
            <w:shd w:fill="FADBD8" w:val="clear"/>
            <w:tcMar>
              <w:top w:type="dxa" w:w="120"/>
              <w:left w:type="dxa" w:w="200"/>
              <w:bottom w:type="dxa" w:w="120"/>
              <w:right w:type="dxa" w:w="200"/>
            </w:tcMar>
          </w:tcPr>
          <w:p>
            <w:pPr>
              <w:spacing w:after="60"/>
            </w:pPr>
            <w:r>
              <w:rPr>
                <w:rFonts w:ascii="Arial" w:cs="Arial" w:eastAsia="Arial" w:hAnsi="Arial"/>
                <w:b/>
                <w:bCs/>
                <w:color w:val="C0392B"/>
                <w:sz w:val="21"/>
                <w:szCs w:val="21"/>
              </w:rPr>
              <w:t xml:space="preserve">DESIGN PRINCIPLE</w:t>
            </w:r>
          </w:p>
          <w:p>
            <w:pPr>
              <w:spacing w:after="0"/>
            </w:pPr>
            <w:r>
              <w:rPr>
                <w:rFonts w:ascii="Arial" w:cs="Arial" w:eastAsia="Arial" w:hAnsi="Arial"/>
                <w:sz w:val="20"/>
                <w:szCs w:val="20"/>
              </w:rPr>
              <w:t xml:space="preserve">This is the truth engine. If it is fuzzy, trust dies. Every data point shown to users must carry a source, a freshness timestamp, and a reliability grade.</w:t>
            </w:r>
          </w:p>
        </w:tc>
      </w:tr>
    </w:tbl>
    <w:p>
      <w:pPr>
        <w:spacing w:after="80"/>
      </w:pPr>
    </w:p>
    <w:p>
      <w:pPr>
        <w:pStyle w:val="Heading2"/>
        <w:spacing w:before="280" w:after="160"/>
      </w:pPr>
      <w:r>
        <w:rPr>
          <w:rFonts w:ascii="Arial" w:cs="Arial" w:eastAsia="Arial" w:hAnsi="Arial"/>
          <w:b/>
          <w:bCs/>
          <w:color w:val="2E86C1"/>
          <w:sz w:val="26"/>
          <w:szCs w:val="26"/>
        </w:rPr>
        <w:t xml:space="preserve">3.1 Reliability Grading System</w:t>
      </w:r>
    </w:p>
    <w:p>
      <w:pPr>
        <w:spacing w:after="160" w:line="276"/>
      </w:pPr>
      <w:r>
        <w:rPr>
          <w:rFonts w:ascii="Arial" w:cs="Arial" w:eastAsia="Arial" w:hAnsi="Arial"/>
          <w:sz w:val="21"/>
          <w:szCs w:val="21"/>
        </w:rPr>
        <w:t xml:space="preserve">Every Listing Sleuth finding is tagged with a reliability grade that is visible to the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2340"/>
        <w:gridCol w:w="2600"/>
        <w:gridCol w:w="3380"/>
      </w:tblGrid>
      <w:tr>
        <w:tc>
          <w:tcPr>
            <w:tcW w:type="dxa" w:w="10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Grade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Label</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Criteria</w:t>
            </w:r>
          </w:p>
        </w:tc>
        <w:tc>
          <w:tcPr>
            <w:tcW w:type="dxa" w:w="33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UI Treatment</w:t>
            </w:r>
          </w:p>
        </w:tc>
      </w:tr>
      <w:tr>
        <w:tc>
          <w:tcPr>
            <w:tcW w:type="dxa" w:w="10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Verified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Official API or database; data &lt; 90 days old; confirmed by 2+ sources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Solid badge; presented as fact with source citation</w:t>
            </w:r>
          </w:p>
        </w:tc>
      </w:tr>
      <w:tr>
        <w:tc>
          <w:tcPr>
            <w:tcW w:type="dxa" w:w="10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Likely Accurate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Official source but &gt; 90 days old; or single authoritative source; or scraped with high confidence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Dashed badge; "Based on [source], last updated [date]"</w:t>
            </w:r>
          </w:p>
        </w:tc>
      </w:tr>
      <w:tr>
        <w:tc>
          <w:tcPr>
            <w:tcW w:type="dxa" w:w="104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Unverified / Inferred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Derived from indirect data; single non-authoritative source; or data &gt; 12 months old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Outlined badge; "Unverified — we recommend confirming with [suggested action]"</w:t>
            </w:r>
          </w:p>
        </w:tc>
      </w:tr>
    </w:tbl>
    <w:p>
      <w:pPr>
        <w:spacing w:after="80"/>
      </w:pPr>
    </w:p>
    <w:p>
      <w:pPr>
        <w:pStyle w:val="Heading2"/>
        <w:spacing w:before="280" w:after="160"/>
      </w:pPr>
      <w:r>
        <w:rPr>
          <w:rFonts w:ascii="Arial" w:cs="Arial" w:eastAsia="Arial" w:hAnsi="Arial"/>
          <w:b/>
          <w:bCs/>
          <w:color w:val="2E86C1"/>
          <w:sz w:val="26"/>
          <w:szCs w:val="26"/>
        </w:rPr>
        <w:t xml:space="preserve">3.2 MVP Data Source Matrix (California Tier 1 Counties)</w:t>
      </w:r>
    </w:p>
    <w:p>
      <w:pPr>
        <w:spacing w:after="160" w:line="276"/>
      </w:pPr>
      <w:r>
        <w:rPr>
          <w:rFonts w:ascii="Arial" w:cs="Arial" w:eastAsia="Arial" w:hAnsi="Arial"/>
          <w:sz w:val="21"/>
          <w:szCs w:val="21"/>
        </w:rPr>
        <w:t xml:space="preserve">Tier 1 counties for MVP beta: San Francisco, San Mateo, Santa Clara, Los Angeles, San Diego. These counties were selected for data accessibility, market activity, and beta tester concentration.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560"/>
        <w:gridCol w:w="1200"/>
        <w:gridCol w:w="1200"/>
        <w:gridCol w:w="180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Sleuth Module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Data Source(s)</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Ingestion Method</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Refresh</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Grade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Known Gaps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Flood Zone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FEMA NFHL (National Flood Hazard Layer)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REST API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Quarterly</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Some areas pending map updates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Fire Risk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CAL FIRE FHSZ maps; USGS WUI data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GeoJSON download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Annually</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Micro-climate gaps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Climate Risk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First Street Foundation API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REST API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Annually</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Projections have inherent uncertainty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Earthquake / Liquefaction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USGS + CGS Seismic Hazard maps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GeoJSON / WMS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Annually</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Site-specific varies from zone data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Toxic Sites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EPA Superfund (CERCLIS); CA DTSC EnviroStor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REST API + scrape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Monthly</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Small spills may be missing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Noise Proximity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FAA flight paths; Caltrans traffic data; OpenStreetMap rail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Computed from geo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Quarterly</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Actual dB levels vary; model is proximity-based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Permit History (SF)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SF Open Data (DBI permits)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SODA API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Weekly</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Pre-2000 records incomplete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Permit History (SM)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San Mateo County Records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Web scrape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Weekly</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Some cities have separate systems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Permit History (SC)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Santa Clara County portal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Web scrape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Weekly</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San Jose separate from county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Permit History (LA)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LADBS open data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REST API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Weekly</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Unincorporated areas via county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Permit History (SD)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City of SD Development Services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Web scrape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Weekly</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Surrounding cities have own systems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Property Tax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County Assessor websites (all 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Scrape + API where available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Annually</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Supplemental tax calculation varies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Walk/Transit/Bike Score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Walk Score API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REST API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Quarterly</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Licensed; usage-based pricing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School Data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GreatSchools API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REST API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Annually</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Ratings methodology debated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Commute Times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Google Maps Distance Matrix API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REST API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Real-time</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Cost depends on call volume</w:t>
            </w:r>
          </w:p>
        </w:tc>
      </w:tr>
    </w:tbl>
    <w:p>
      <w:pPr>
        <w:spacing w:after="80"/>
      </w:pPr>
    </w:p>
    <w:p>
      <w:pPr>
        <w:pStyle w:val="Heading2"/>
        <w:spacing w:before="280" w:after="160"/>
      </w:pPr>
      <w:r>
        <w:rPr>
          <w:rFonts w:ascii="Arial" w:cs="Arial" w:eastAsia="Arial" w:hAnsi="Arial"/>
          <w:b/>
          <w:bCs/>
          <w:color w:val="2E86C1"/>
          <w:sz w:val="26"/>
          <w:szCs w:val="26"/>
        </w:rPr>
        <w:t xml:space="preserve">3.3 Address Normalization Strategy</w:t>
      </w:r>
    </w:p>
    <w:p>
      <w:pPr>
        <w:spacing w:after="160" w:line="276"/>
      </w:pPr>
      <w:r>
        <w:rPr>
          <w:rFonts w:ascii="Arial" w:cs="Arial" w:eastAsia="Arial" w:hAnsi="Arial"/>
          <w:sz w:val="21"/>
          <w:szCs w:val="21"/>
        </w:rPr>
        <w:t xml:space="preserve">Address normalization is the foundation of cross-source data reconciliation. Every property must resolve to a canonical address record. The system uses a three-stage pipeline: (1) Parse user input (URL, MLS ID, free-text address) into structured components via Google Geocoding API, producing a canonical lat/long + formatted address. (2) Match against county APN (Assessor Parcel Number) for property-level precision. (3) Use APN as the primary key for all Sleuth data joins. Fallback: when APN match fails, use lat/long with 50-meter radius for geo-based data and flag the match as Grade B confidence.</w:t>
      </w:r>
    </w:p>
    <w:p>
      <w:pPr>
        <w:pStyle w:val="Heading2"/>
        <w:spacing w:before="280" w:after="160"/>
      </w:pPr>
      <w:r>
        <w:rPr>
          <w:rFonts w:ascii="Arial" w:cs="Arial" w:eastAsia="Arial" w:hAnsi="Arial"/>
          <w:b/>
          <w:bCs/>
          <w:color w:val="2E86C1"/>
          <w:sz w:val="26"/>
          <w:szCs w:val="26"/>
        </w:rPr>
        <w:t xml:space="preserve">3.4 Failure Modes &amp; Graceful Degradation</w:t>
      </w:r>
    </w:p>
    <w:p>
      <w:pPr>
        <w:spacing w:after="160" w:line="276"/>
      </w:pPr>
      <w:r>
        <w:rPr>
          <w:rFonts w:ascii="Arial" w:cs="Arial" w:eastAsia="Arial" w:hAnsi="Arial"/>
          <w:sz w:val="21"/>
          <w:szCs w:val="21"/>
        </w:rPr>
        <w:t xml:space="preserve">When a data source is unavailable, stale, or returns ambiguous results, the system must degrade gracefully rather than fail silently or present unreliable data as fact:</w:t>
      </w:r>
    </w:p>
    <w:p>
      <w:pPr>
        <w:pStyle w:val="ListParagraph"/>
        <w:numPr>
          <w:ilvl w:val="0"/>
          <w:numId w:val="2"/>
        </w:numPr>
        <w:spacing w:after="80" w:line="276"/>
      </w:pPr>
      <w:r>
        <w:rPr>
          <w:rFonts w:ascii="Arial" w:cs="Arial" w:eastAsia="Arial" w:hAnsi="Arial"/>
          <w:b/>
          <w:bCs/>
          <w:sz w:val="21"/>
          <w:szCs w:val="21"/>
        </w:rPr>
        <w:t xml:space="preserve">Source Unavailable: </w:t>
      </w:r>
      <w:r>
        <w:rPr>
          <w:rFonts w:ascii="Arial" w:cs="Arial" w:eastAsia="Arial" w:hAnsi="Arial"/>
          <w:sz w:val="21"/>
          <w:szCs w:val="21"/>
        </w:rPr>
        <w:t xml:space="preserve">Display "Data temporarily unavailable for [module]. We check [source] every [cadence]. Last successful check: [timestamp]." Do not omit the module entirely; its absence is information.</w:t>
      </w:r>
    </w:p>
    <w:p>
      <w:pPr>
        <w:pStyle w:val="ListParagraph"/>
        <w:numPr>
          <w:ilvl w:val="0"/>
          <w:numId w:val="2"/>
        </w:numPr>
        <w:spacing w:after="80" w:line="276"/>
      </w:pPr>
      <w:r>
        <w:rPr>
          <w:rFonts w:ascii="Arial" w:cs="Arial" w:eastAsia="Arial" w:hAnsi="Arial"/>
          <w:b/>
          <w:bCs/>
          <w:sz w:val="21"/>
          <w:szCs w:val="21"/>
        </w:rPr>
        <w:t xml:space="preserve">Data Stale: </w:t>
      </w:r>
      <w:r>
        <w:rPr>
          <w:rFonts w:ascii="Arial" w:cs="Arial" w:eastAsia="Arial" w:hAnsi="Arial"/>
          <w:sz w:val="21"/>
          <w:szCs w:val="21"/>
        </w:rPr>
        <w:t xml:space="preserve">Show data with prominent staleness warning if older than 2x the expected refresh cadence. For example, if permits refresh weekly but last update was 3+ weeks ago, show "Data may be outdated — last updated [date]."</w:t>
      </w:r>
    </w:p>
    <w:p>
      <w:pPr>
        <w:pStyle w:val="ListParagraph"/>
        <w:numPr>
          <w:ilvl w:val="0"/>
          <w:numId w:val="2"/>
        </w:numPr>
        <w:spacing w:after="80" w:line="276"/>
      </w:pPr>
      <w:r>
        <w:rPr>
          <w:rFonts w:ascii="Arial" w:cs="Arial" w:eastAsia="Arial" w:hAnsi="Arial"/>
          <w:b/>
          <w:bCs/>
          <w:sz w:val="21"/>
          <w:szCs w:val="21"/>
        </w:rPr>
        <w:t xml:space="preserve">Ambiguous Match: </w:t>
      </w:r>
      <w:r>
        <w:rPr>
          <w:rFonts w:ascii="Arial" w:cs="Arial" w:eastAsia="Arial" w:hAnsi="Arial"/>
          <w:sz w:val="21"/>
          <w:szCs w:val="21"/>
        </w:rPr>
        <w:t xml:space="preserve">If address resolution confidence is below 85%, prompt user to confirm the correct property from 2–3 candidates. Do not auto-match on low confidence.</w:t>
      </w:r>
    </w:p>
    <w:p>
      <w:pPr>
        <w:pStyle w:val="ListParagraph"/>
        <w:numPr>
          <w:ilvl w:val="0"/>
          <w:numId w:val="2"/>
        </w:numPr>
        <w:spacing w:after="80" w:line="276"/>
      </w:pPr>
      <w:r>
        <w:rPr>
          <w:rFonts w:ascii="Arial" w:cs="Arial" w:eastAsia="Arial" w:hAnsi="Arial"/>
          <w:b/>
          <w:bCs/>
          <w:sz w:val="21"/>
          <w:szCs w:val="21"/>
        </w:rPr>
        <w:t xml:space="preserve">Conflicting Sources: </w:t>
      </w:r>
      <w:r>
        <w:rPr>
          <w:rFonts w:ascii="Arial" w:cs="Arial" w:eastAsia="Arial" w:hAnsi="Arial"/>
          <w:sz w:val="21"/>
          <w:szCs w:val="21"/>
        </w:rPr>
        <w:t xml:space="preserve">When two sources disagree (e.g., listed square footage vs. county records), show both values with sources and flag the discrepancy: "Listing says 1,850 sqft; county records show 1,720 sqft. Discrepancies may indicate unpermitted additions."</w:t>
      </w:r>
    </w:p>
    <w:p>
      <w:r>
        <w:br w:type="page"/>
      </w:r>
    </w:p>
    <w:p>
      <w:pPr>
        <w:pStyle w:val="Heading1"/>
        <w:spacing w:before="360" w:after="200"/>
      </w:pPr>
      <w:r>
        <w:rPr>
          <w:rFonts w:ascii="Arial" w:cs="Arial" w:eastAsia="Arial" w:hAnsi="Arial"/>
          <w:b/>
          <w:bCs/>
          <w:color w:val="1B4F72"/>
          <w:sz w:val="32"/>
          <w:szCs w:val="32"/>
        </w:rPr>
        <w:t xml:space="preserve">4. "My Perfect House" Score v0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12"/>
              <w:bottom w:val="single" w:color="1E8449" w:sz="1"/>
              <w:right w:val="single" w:color="1E8449" w:sz="1"/>
            </w:tcBorders>
            <w:shd w:fill="D5F5E3" w:val="clear"/>
            <w:tcMar>
              <w:top w:type="dxa" w:w="120"/>
              <w:left w:type="dxa" w:w="200"/>
              <w:bottom w:type="dxa" w:w="120"/>
              <w:right w:type="dxa" w:w="200"/>
            </w:tcMar>
          </w:tcPr>
          <w:p>
            <w:pPr>
              <w:spacing w:after="60"/>
            </w:pPr>
            <w:r>
              <w:rPr>
                <w:rFonts w:ascii="Arial" w:cs="Arial" w:eastAsia="Arial" w:hAnsi="Arial"/>
                <w:b/>
                <w:bCs/>
                <w:color w:val="1E8449"/>
                <w:sz w:val="21"/>
                <w:szCs w:val="21"/>
              </w:rPr>
              <w:t xml:space="preserve">DESIGN PRINCIPLE</w:t>
            </w:r>
          </w:p>
          <w:p>
            <w:pPr>
              <w:spacing w:after="0"/>
            </w:pPr>
            <w:r>
              <w:rPr>
                <w:rFonts w:ascii="Arial" w:cs="Arial" w:eastAsia="Arial" w:hAnsi="Arial"/>
                <w:sz w:val="20"/>
                <w:szCs w:val="20"/>
              </w:rPr>
              <w:t xml:space="preserve">The score must be deterministic, explainable, and honest about uncertainty. Show a range, not a false point estimate. Users must always be able to ask "why this score?" and get a clear answer.</w:t>
            </w:r>
          </w:p>
        </w:tc>
      </w:tr>
    </w:tbl>
    <w:p>
      <w:pPr>
        <w:spacing w:after="80"/>
      </w:pPr>
    </w:p>
    <w:p>
      <w:pPr>
        <w:pStyle w:val="Heading2"/>
        <w:spacing w:before="280" w:after="160"/>
      </w:pPr>
      <w:r>
        <w:rPr>
          <w:rFonts w:ascii="Arial" w:cs="Arial" w:eastAsia="Arial" w:hAnsi="Arial"/>
          <w:b/>
          <w:bCs/>
          <w:color w:val="2E86C1"/>
          <w:sz w:val="26"/>
          <w:szCs w:val="26"/>
        </w:rPr>
        <w:t xml:space="preserve">4.1 Architecture: Weighted Sub-Score Model</w:t>
      </w:r>
    </w:p>
    <w:p>
      <w:pPr>
        <w:spacing w:after="160" w:line="276"/>
      </w:pPr>
      <w:r>
        <w:rPr>
          <w:rFonts w:ascii="Arial" w:cs="Arial" w:eastAsia="Arial" w:hAnsi="Arial"/>
          <w:sz w:val="21"/>
          <w:szCs w:val="21"/>
        </w:rPr>
        <w:t xml:space="preserve">Score v0 uses a transparent weighted sum of six sub-scores, each ranging from 0 to 100. The weights are derived directly from the user's preference questionnaire responses, ensuring the score reflects individual priorities rather than an opaque algorithm. This design is deliberately simple and explainable; ML-based scoring refinement is planned for v1 after collecting sufficient user feedback data.</w:t>
      </w:r>
    </w:p>
    <w:p>
      <w:pPr>
        <w:pStyle w:val="Heading2"/>
        <w:spacing w:before="280" w:after="160"/>
      </w:pPr>
      <w:r>
        <w:rPr>
          <w:rFonts w:ascii="Arial" w:cs="Arial" w:eastAsia="Arial" w:hAnsi="Arial"/>
          <w:b/>
          <w:bCs/>
          <w:color w:val="2E86C1"/>
          <w:sz w:val="26"/>
          <w:szCs w:val="26"/>
        </w:rPr>
        <w:t xml:space="preserve">4.2 Sub-Score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3900"/>
        <w:gridCol w:w="2600"/>
      </w:tblGrid>
      <w:tr>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Sub-Score</w:t>
            </w:r>
          </w:p>
        </w:tc>
        <w:tc>
          <w:tcPr>
            <w:tcW w:type="dxa" w:w="1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Default Wt</w:t>
            </w:r>
          </w:p>
        </w:tc>
        <w:tc>
          <w:tcPr>
            <w:tcW w:type="dxa" w:w="3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Inputs &amp; Calculation</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Missing Data Behavior</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Preference Match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25%</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Pairwise comparison of property attributes (beds, baths, sqft, lot size, type, style, features) against user-stated ideal. Each attribute scored 0–100 by closeness to ideal; geometric mean of all attribute scores.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Missing attributes scored as 50 (neutral); confidence band widens by 5 pts per missing critical attribute.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Location Quality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20%</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Composite of commute time score (vs. stated tolerance), school rating score (if applicable), Walk Score, Transit Score, and proximity to stated amenity preferences.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Missing commute = excluded from composite (re-normalize remaining); missing Walk Score = neutral 50.</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Financial Fit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20%</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Ratio of true monthly cost (PITI + HOA + maintenance reserve) to stated budget ceiling. 100 = at or under budget; decreases linearly; 0 = &gt;150% of budget.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Always calculable if price is known. If property tax unavailable, use county median rate estimate (Grade B).</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Risk Profile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15%</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Inverse of weighted risk count from Listing Sleuth. Each risk item is weighted by severity (Critical=10, Significant=5, Minor=2, Informational=1). Score = max(0, 100 - sum_of_weighted_risks).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If Sleuth modules are unavailable, exclude from composite and widen confidence band. Never penalize for data gaps.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Condition / Improvement Gap</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For MVP: based on listing age, days on market, price reductions, and user-rated condition impressions. For v1: incorporates Value Estimator improvement cost data.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If user has not rated condition, exclude and re-normalize. If no user input, use listing photos AI assessment (v1).</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Community Fit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Noise proximity score, neighborhood safety trend (v1), HOA compatibility (v2). For MVP: noise proximity + user subjective community rating if provided.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If no user rating and noise data unavailable, exclude and re-normalize.</w:t>
            </w:r>
          </w:p>
        </w:tc>
      </w:tr>
    </w:tbl>
    <w:p>
      <w:pPr>
        <w:spacing w:after="80"/>
      </w:pPr>
    </w:p>
    <w:p>
      <w:pPr>
        <w:pStyle w:val="Heading2"/>
        <w:spacing w:before="280" w:after="160"/>
      </w:pPr>
      <w:r>
        <w:rPr>
          <w:rFonts w:ascii="Arial" w:cs="Arial" w:eastAsia="Arial" w:hAnsi="Arial"/>
          <w:b/>
          <w:bCs/>
          <w:color w:val="2E86C1"/>
          <w:sz w:val="26"/>
          <w:szCs w:val="26"/>
        </w:rPr>
        <w:t xml:space="preserve">4.3 Composite Score Calculation</w:t>
      </w:r>
    </w:p>
    <w:p>
      <w:pPr>
        <w:spacing w:after="160" w:line="276"/>
      </w:pPr>
      <w:r>
        <w:rPr>
          <w:rFonts w:ascii="Arial" w:cs="Arial" w:eastAsia="Arial" w:hAnsi="Arial"/>
          <w:sz w:val="21"/>
          <w:szCs w:val="21"/>
        </w:rPr>
        <w:t xml:space="preserve">The composite score is calculated as follows:</w:t>
      </w:r>
    </w:p>
    <w:p>
      <w:pPr>
        <w:spacing w:after="160" w:line="276"/>
      </w:pPr>
      <w:r>
        <w:rPr>
          <w:rFonts w:ascii="Arial" w:cs="Arial" w:eastAsia="Arial" w:hAnsi="Arial"/>
          <w:b/>
          <w:bCs/>
          <w:sz w:val="21"/>
          <w:szCs w:val="21"/>
        </w:rPr>
        <w:t xml:space="preserve">Score = </w:t>
      </w:r>
      <w:r>
        <w:rPr>
          <w:rFonts w:ascii="Arial" w:cs="Arial" w:eastAsia="Arial" w:hAnsi="Arial"/>
          <w:sz w:val="21"/>
          <w:szCs w:val="21"/>
        </w:rPr>
        <w:t xml:space="preserve">Σ(wᵢ × sᵢ) for all available sub-scores, where weights wᵢ are re-normalized to sum to 1.0 after excluding any sub-scores with insufficient data.</w:t>
      </w:r>
    </w:p>
    <w:p>
      <w:pPr>
        <w:spacing w:after="160" w:line="276"/>
      </w:pPr>
      <w:r>
        <w:rPr>
          <w:rFonts w:ascii="Arial" w:cs="Arial" w:eastAsia="Arial" w:hAnsi="Arial"/>
          <w:b/>
          <w:bCs/>
          <w:sz w:val="21"/>
          <w:szCs w:val="21"/>
        </w:rPr>
        <w:t xml:space="preserve">Confidence Band = </w:t>
      </w:r>
      <w:r>
        <w:rPr>
          <w:rFonts w:ascii="Arial" w:cs="Arial" w:eastAsia="Arial" w:hAnsi="Arial"/>
          <w:sz w:val="21"/>
          <w:szCs w:val="21"/>
        </w:rPr>
        <w:t xml:space="preserve">± base_uncertainty + (missing_data_penalty × count_of_excluded_dimensions). Base uncertainty = 3 points. Missing data penalty = 4 points per excluded dimension.</w:t>
      </w:r>
    </w:p>
    <w:p>
      <w:pPr>
        <w:spacing w:after="160" w:line="276"/>
      </w:pPr>
      <w:r>
        <w:rPr>
          <w:rFonts w:ascii="Arial" w:cs="Arial" w:eastAsia="Arial" w:hAnsi="Arial"/>
          <w:sz w:val="21"/>
          <w:szCs w:val="21"/>
        </w:rPr>
        <w:t xml:space="preserve">Example: If a property has all six sub-scores available and scores [82, 71, 90, 65, 58, 73] with default weights [0.25, 0.20, 0.20, 0.15, 0.10, 0.10]:</w:t>
      </w:r>
    </w:p>
    <w:p>
      <w:pPr>
        <w:spacing w:after="160" w:line="276"/>
      </w:pPr>
      <w:r>
        <w:rPr>
          <w:rFonts w:ascii="Arial" w:cs="Arial" w:eastAsia="Arial" w:hAnsi="Arial"/>
          <w:sz w:val="21"/>
          <w:szCs w:val="21"/>
        </w:rPr>
        <w:t xml:space="preserve">Score = 0.25(82) + 0.20(71) + 0.20(90) + 0.15(65) + 0.10(58) + 0.10(73) = 76.7, displayed as "77 (range: 74–80)"</w:t>
      </w:r>
    </w:p>
    <w:p>
      <w:pPr>
        <w:spacing w:after="160" w:line="276"/>
      </w:pPr>
      <w:r>
        <w:rPr>
          <w:rFonts w:ascii="Arial" w:cs="Arial" w:eastAsia="Arial" w:hAnsi="Arial"/>
          <w:sz w:val="21"/>
          <w:szCs w:val="21"/>
        </w:rPr>
        <w:t xml:space="preserve">If Risk Profile and Community Fit data are unavailable, re-normalize remaining weights to sum to 1.0: [0.333, 0.267, 0.267, 0.133] and apply to [82, 71, 90, 58]. Score = 76.5, confidence = ±(3 + 4×2) = ±11, displayed as "77 (range: 66–88, lower confidence)"</w:t>
      </w:r>
    </w:p>
    <w:p>
      <w:pPr>
        <w:pStyle w:val="Heading2"/>
        <w:spacing w:before="280" w:after="160"/>
      </w:pPr>
      <w:r>
        <w:rPr>
          <w:rFonts w:ascii="Arial" w:cs="Arial" w:eastAsia="Arial" w:hAnsi="Arial"/>
          <w:b/>
          <w:bCs/>
          <w:color w:val="2E86C1"/>
          <w:sz w:val="26"/>
          <w:szCs w:val="26"/>
        </w:rPr>
        <w:t xml:space="preserve">4.4 Weight Customization</w:t>
      </w:r>
    </w:p>
    <w:p>
      <w:pPr>
        <w:spacing w:after="160" w:line="276"/>
      </w:pPr>
      <w:r>
        <w:rPr>
          <w:rFonts w:ascii="Arial" w:cs="Arial" w:eastAsia="Arial" w:hAnsi="Arial"/>
          <w:sz w:val="21"/>
          <w:szCs w:val="21"/>
        </w:rPr>
        <w:t xml:space="preserve">Users can adjust weights through the preferences questionnaire or directly via a weight slider interface in settings. When a user adjusts weights, the system re-normalizes all weights to sum to 1.0 and immediately recalculates all property scores. Weight changes are logged for explainability ("Your score changed because you increased the importance of commute time from 20% to 35%").</w:t>
      </w:r>
    </w:p>
    <w:p>
      <w:pPr>
        <w:pStyle w:val="Heading2"/>
        <w:spacing w:before="280" w:after="160"/>
      </w:pPr>
      <w:r>
        <w:rPr>
          <w:rFonts w:ascii="Arial" w:cs="Arial" w:eastAsia="Arial" w:hAnsi="Arial"/>
          <w:b/>
          <w:bCs/>
          <w:color w:val="2E86C1"/>
          <w:sz w:val="26"/>
          <w:szCs w:val="26"/>
        </w:rPr>
        <w:t xml:space="preserve">4.5 Score Change Explainability</w:t>
      </w:r>
    </w:p>
    <w:p>
      <w:pPr>
        <w:spacing w:after="160" w:line="276"/>
      </w:pPr>
      <w:r>
        <w:rPr>
          <w:rFonts w:ascii="Arial" w:cs="Arial" w:eastAsia="Arial" w:hAnsi="Arial"/>
          <w:sz w:val="21"/>
          <w:szCs w:val="21"/>
        </w:rPr>
        <w:t xml:space="preserve">When a score changes between user sessions, the system generates a natural-language explanation attributing the delta to specific causes:</w:t>
      </w:r>
    </w:p>
    <w:p>
      <w:pPr>
        <w:pStyle w:val="ListParagraph"/>
        <w:numPr>
          <w:ilvl w:val="0"/>
          <w:numId w:val="2"/>
        </w:numPr>
        <w:spacing w:after="80" w:line="276"/>
      </w:pPr>
      <w:r>
        <w:rPr>
          <w:rFonts w:ascii="Arial" w:cs="Arial" w:eastAsia="Arial" w:hAnsi="Arial"/>
          <w:b/>
          <w:bCs/>
          <w:sz w:val="21"/>
          <w:szCs w:val="21"/>
        </w:rPr>
        <w:t xml:space="preserve">Data Update: </w:t>
      </w:r>
      <w:r>
        <w:rPr>
          <w:rFonts w:ascii="Arial" w:cs="Arial" w:eastAsia="Arial" w:hAnsi="Arial"/>
          <w:sz w:val="21"/>
          <w:szCs w:val="21"/>
        </w:rPr>
        <w:t xml:space="preserve">"Score changed from 81 to 77 because: new permit data revealed an open permit for unpermitted bathroom addition (Risk Profile -6 points), offset by updated school ratings (+2 points)."</w:t>
      </w:r>
    </w:p>
    <w:p>
      <w:pPr>
        <w:pStyle w:val="ListParagraph"/>
        <w:numPr>
          <w:ilvl w:val="0"/>
          <w:numId w:val="2"/>
        </w:numPr>
        <w:spacing w:after="80" w:line="276"/>
      </w:pPr>
      <w:r>
        <w:rPr>
          <w:rFonts w:ascii="Arial" w:cs="Arial" w:eastAsia="Arial" w:hAnsi="Arial"/>
          <w:b/>
          <w:bCs/>
          <w:sz w:val="21"/>
          <w:szCs w:val="21"/>
        </w:rPr>
        <w:t xml:space="preserve">Weight Change: </w:t>
      </w:r>
      <w:r>
        <w:rPr>
          <w:rFonts w:ascii="Arial" w:cs="Arial" w:eastAsia="Arial" w:hAnsi="Arial"/>
          <w:sz w:val="21"/>
          <w:szCs w:val="21"/>
        </w:rPr>
        <w:t xml:space="preserve">"You increased the weight of Financial Fit. Because this property is over your budget, the score decreased from 81 to 74."</w:t>
      </w:r>
    </w:p>
    <w:p>
      <w:pPr>
        <w:pStyle w:val="ListParagraph"/>
        <w:numPr>
          <w:ilvl w:val="0"/>
          <w:numId w:val="2"/>
        </w:numPr>
        <w:spacing w:after="80" w:line="276"/>
      </w:pPr>
      <w:r>
        <w:rPr>
          <w:rFonts w:ascii="Arial" w:cs="Arial" w:eastAsia="Arial" w:hAnsi="Arial"/>
          <w:b/>
          <w:bCs/>
          <w:sz w:val="21"/>
          <w:szCs w:val="21"/>
        </w:rPr>
        <w:t xml:space="preserve">New User Input: </w:t>
      </w:r>
      <w:r>
        <w:rPr>
          <w:rFonts w:ascii="Arial" w:cs="Arial" w:eastAsia="Arial" w:hAnsi="Arial"/>
          <w:sz w:val="21"/>
          <w:szCs w:val="21"/>
        </w:rPr>
        <w:t xml:space="preserve">"After your tour, you rated the condition as 3/5. This updated the Condition sub-score from 50 (neutral) to 38, reducing the overall score from 81 to 78."</w:t>
      </w:r>
    </w:p>
    <w:p>
      <w:pPr>
        <w:pStyle w:val="Heading2"/>
        <w:spacing w:before="280" w:after="160"/>
      </w:pPr>
      <w:r>
        <w:rPr>
          <w:rFonts w:ascii="Arial" w:cs="Arial" w:eastAsia="Arial" w:hAnsi="Arial"/>
          <w:b/>
          <w:bCs/>
          <w:color w:val="2E86C1"/>
          <w:sz w:val="26"/>
          <w:szCs w:val="26"/>
        </w:rPr>
        <w:t xml:space="preserve">4.6 Anti-Gaming &amp; Spurious Precision</w:t>
      </w:r>
    </w:p>
    <w:p>
      <w:pPr>
        <w:pStyle w:val="ListParagraph"/>
        <w:numPr>
          <w:ilvl w:val="0"/>
          <w:numId w:val="2"/>
        </w:numPr>
        <w:spacing w:after="80" w:line="276"/>
      </w:pPr>
      <w:r>
        <w:rPr>
          <w:rFonts w:ascii="Arial" w:cs="Arial" w:eastAsia="Arial" w:hAnsi="Arial"/>
          <w:b/>
          <w:bCs/>
          <w:sz w:val="21"/>
          <w:szCs w:val="21"/>
        </w:rPr>
        <w:t xml:space="preserve">No Decimal Display: </w:t>
      </w:r>
      <w:r>
        <w:rPr>
          <w:rFonts w:ascii="Arial" w:cs="Arial" w:eastAsia="Arial" w:hAnsi="Arial"/>
          <w:sz w:val="21"/>
          <w:szCs w:val="21"/>
        </w:rPr>
        <w:t xml:space="preserve">Scores are always displayed as integers. Internal calculations use decimals for ranking precision, but the user-facing display rounds to the nearest integer.</w:t>
      </w:r>
    </w:p>
    <w:p>
      <w:pPr>
        <w:pStyle w:val="ListParagraph"/>
        <w:numPr>
          <w:ilvl w:val="0"/>
          <w:numId w:val="2"/>
        </w:numPr>
        <w:spacing w:after="80" w:line="276"/>
      </w:pPr>
      <w:r>
        <w:rPr>
          <w:rFonts w:ascii="Arial" w:cs="Arial" w:eastAsia="Arial" w:hAnsi="Arial"/>
          <w:b/>
          <w:bCs/>
          <w:sz w:val="21"/>
          <w:szCs w:val="21"/>
        </w:rPr>
        <w:t xml:space="preserve">Range Display: </w:t>
      </w:r>
      <w:r>
        <w:rPr>
          <w:rFonts w:ascii="Arial" w:cs="Arial" w:eastAsia="Arial" w:hAnsi="Arial"/>
          <w:sz w:val="21"/>
          <w:szCs w:val="21"/>
        </w:rPr>
        <w:t xml:space="preserve">Scores are always shown as "XX (range: YY–ZZ)" to communicate uncertainty honestly. Confidence level (high/medium/low) is shown alongside.</w:t>
      </w:r>
    </w:p>
    <w:p>
      <w:pPr>
        <w:pStyle w:val="ListParagraph"/>
        <w:numPr>
          <w:ilvl w:val="0"/>
          <w:numId w:val="2"/>
        </w:numPr>
        <w:spacing w:after="80" w:line="276"/>
      </w:pPr>
      <w:r>
        <w:rPr>
          <w:rFonts w:ascii="Arial" w:cs="Arial" w:eastAsia="Arial" w:hAnsi="Arial"/>
          <w:b/>
          <w:bCs/>
          <w:sz w:val="21"/>
          <w:szCs w:val="21"/>
        </w:rPr>
        <w:t xml:space="preserve">Relative Ranking: </w:t>
      </w:r>
      <w:r>
        <w:rPr>
          <w:rFonts w:ascii="Arial" w:cs="Arial" w:eastAsia="Arial" w:hAnsi="Arial"/>
          <w:sz w:val="21"/>
          <w:szCs w:val="21"/>
        </w:rPr>
        <w:t xml:space="preserve">In comparison views, show ranking order ("#1 of 5 properties") in addition to absolute scores, since relative position is often more useful than the absolute number.</w:t>
      </w:r>
    </w:p>
    <w:p>
      <w:pPr>
        <w:pStyle w:val="ListParagraph"/>
        <w:numPr>
          <w:ilvl w:val="0"/>
          <w:numId w:val="2"/>
        </w:numPr>
        <w:spacing w:after="80" w:line="276"/>
      </w:pPr>
      <w:r>
        <w:rPr>
          <w:rFonts w:ascii="Arial" w:cs="Arial" w:eastAsia="Arial" w:hAnsi="Arial"/>
          <w:b/>
          <w:bCs/>
          <w:sz w:val="21"/>
          <w:szCs w:val="21"/>
        </w:rPr>
        <w:t xml:space="preserve">No External Claims: </w:t>
      </w:r>
      <w:r>
        <w:rPr>
          <w:rFonts w:ascii="Arial" w:cs="Arial" w:eastAsia="Arial" w:hAnsi="Arial"/>
          <w:sz w:val="21"/>
          <w:szCs w:val="21"/>
        </w:rPr>
        <w:t xml:space="preserve">Terms of service prohibit using HomeScore scores in listing advertisements or marketing materials to prevent gaming incentives.</w:t>
      </w:r>
    </w:p>
    <w:p>
      <w:r>
        <w:br w:type="page"/>
      </w:r>
    </w:p>
    <w:p>
      <w:pPr>
        <w:pStyle w:val="Heading1"/>
        <w:spacing w:before="360" w:after="200"/>
      </w:pPr>
      <w:r>
        <w:rPr>
          <w:rFonts w:ascii="Arial" w:cs="Arial" w:eastAsia="Arial" w:hAnsi="Arial"/>
          <w:b/>
          <w:bCs/>
          <w:color w:val="1B4F72"/>
          <w:sz w:val="32"/>
          <w:szCs w:val="32"/>
        </w:rPr>
        <w:t xml:space="preserve">5. Fairness &amp; Compliance Product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2"/>
              <w:bottom w:val="single" w:color="C0392B" w:sz="1"/>
              <w:right w:val="single" w:color="C0392B" w:sz="1"/>
            </w:tcBorders>
            <w:shd w:fill="FADBD8" w:val="clear"/>
            <w:tcMar>
              <w:top w:type="dxa" w:w="120"/>
              <w:left w:type="dxa" w:w="200"/>
              <w:bottom w:type="dxa" w:w="120"/>
              <w:right w:type="dxa" w:w="200"/>
            </w:tcMar>
          </w:tcPr>
          <w:p>
            <w:pPr>
              <w:spacing w:after="60"/>
            </w:pPr>
            <w:r>
              <w:rPr>
                <w:rFonts w:ascii="Arial" w:cs="Arial" w:eastAsia="Arial" w:hAnsi="Arial"/>
                <w:b/>
                <w:bCs/>
                <w:color w:val="C0392B"/>
                <w:sz w:val="21"/>
                <w:szCs w:val="21"/>
              </w:rPr>
              <w:t xml:space="preserve">LEGAL REQUIREMENT</w:t>
            </w:r>
          </w:p>
          <w:p>
            <w:pPr>
              <w:spacing w:after="0"/>
            </w:pPr>
            <w:r>
              <w:rPr>
                <w:rFonts w:ascii="Arial" w:cs="Arial" w:eastAsia="Arial" w:hAnsi="Arial"/>
                <w:sz w:val="20"/>
                <w:szCs w:val="20"/>
              </w:rPr>
              <w:t xml:space="preserve">HomeScore AI must comply with the Fair Housing Act (42 U.S.C. §§ 3601–3619), which prohibits discrimination based on race, color, national origin, religion, sex, familial status, or disability in housing-related services.</w:t>
            </w:r>
          </w:p>
        </w:tc>
      </w:tr>
    </w:tbl>
    <w:p>
      <w:pPr>
        <w:spacing w:after="80"/>
      </w:pPr>
    </w:p>
    <w:p>
      <w:pPr>
        <w:pStyle w:val="Heading2"/>
        <w:spacing w:before="280" w:after="160"/>
      </w:pPr>
      <w:r>
        <w:rPr>
          <w:rFonts w:ascii="Arial" w:cs="Arial" w:eastAsia="Arial" w:hAnsi="Arial"/>
          <w:b/>
          <w:bCs/>
          <w:color w:val="2E86C1"/>
          <w:sz w:val="26"/>
          <w:szCs w:val="26"/>
        </w:rPr>
        <w:t xml:space="preserve">5.1 What We Will and Will Not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Treatment</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Rationale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Property structural condition</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Scored directly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Objective property attribute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Environmental hazards (flood, fire, toxins)</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Scored directly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Objective, property-specific risk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Noise proximity (airports, highways, rail)</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Scored directly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Objective, measurable nuisance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Permit compliance / history</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Scored directly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Property-specific legal risk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School ratings</w:t>
            </w:r>
          </w:p>
        </w:tc>
        <w:tc>
          <w:tcPr>
            <w:tcW w:type="dxa" w:w="312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Informational only — NOT scored by default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Scoring school ratings risks disparate impact on protected classes. Presented as data for user to weigh personally.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Crime statistics / police records</w:t>
            </w:r>
          </w:p>
        </w:tc>
        <w:tc>
          <w:tcPr>
            <w:tcW w:type="dxa" w:w="312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Informational only — NOT scored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Neighborhood crime data correlates with race/ethnicity. Presented neutrally as public data with source/date; never labeled "safe" or "unsafe."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Sex offender proximity</w:t>
            </w:r>
          </w:p>
        </w:tc>
        <w:tc>
          <w:tcPr>
            <w:tcW w:type="dxa" w:w="31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DEFERRED — legal review required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Registry data use in housing recommendations may violate Fair Housing. Requires legal opinion before implementation.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Neighborhood demographics</w:t>
            </w:r>
          </w:p>
        </w:tc>
        <w:tc>
          <w:tcPr>
            <w:tcW w:type="dxa" w:w="31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NEVER collected or displayed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Displaying demographics in a housing decision tool creates steering risk.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Religious institutions / houses of worship proximity</w:t>
            </w:r>
          </w:p>
        </w:tc>
        <w:tc>
          <w:tcPr>
            <w:tcW w:type="dxa" w:w="31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NEVER scored or highlighted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Could facilitate discrimination based on religion.</w:t>
            </w:r>
          </w:p>
        </w:tc>
      </w:tr>
    </w:tbl>
    <w:p>
      <w:pPr>
        <w:spacing w:after="80"/>
      </w:pPr>
    </w:p>
    <w:p>
      <w:pPr>
        <w:pStyle w:val="Heading2"/>
        <w:spacing w:before="280" w:after="160"/>
      </w:pPr>
      <w:r>
        <w:rPr>
          <w:rFonts w:ascii="Arial" w:cs="Arial" w:eastAsia="Arial" w:hAnsi="Arial"/>
          <w:b/>
          <w:bCs/>
          <w:color w:val="2E86C1"/>
          <w:sz w:val="26"/>
          <w:szCs w:val="26"/>
        </w:rPr>
        <w:t xml:space="preserve">5.2 Presentation Guardrails for Sensitive Data</w:t>
      </w:r>
    </w:p>
    <w:p>
      <w:pPr>
        <w:pStyle w:val="ListParagraph"/>
        <w:numPr>
          <w:ilvl w:val="0"/>
          <w:numId w:val="2"/>
        </w:numPr>
        <w:spacing w:after="80" w:line="276"/>
      </w:pPr>
      <w:r>
        <w:rPr>
          <w:rFonts w:ascii="Arial" w:cs="Arial" w:eastAsia="Arial" w:hAnsi="Arial"/>
          <w:b/>
          <w:bCs/>
          <w:sz w:val="21"/>
          <w:szCs w:val="21"/>
        </w:rPr>
        <w:t xml:space="preserve">Neutral Framing: </w:t>
      </w:r>
      <w:r>
        <w:rPr>
          <w:rFonts w:ascii="Arial" w:cs="Arial" w:eastAsia="Arial" w:hAnsi="Arial"/>
          <w:sz w:val="21"/>
          <w:szCs w:val="21"/>
        </w:rPr>
        <w:t xml:space="preserve">Crime and safety data is presented as "Public Safety Data for [Address Area]" with raw numbers, source attribution, and date range. We never use terms like "dangerous," "bad neighborhood," "sketchy area," or "safe neighborhood."</w:t>
      </w:r>
    </w:p>
    <w:p>
      <w:pPr>
        <w:pStyle w:val="ListParagraph"/>
        <w:numPr>
          <w:ilvl w:val="0"/>
          <w:numId w:val="2"/>
        </w:numPr>
        <w:spacing w:after="80" w:line="276"/>
      </w:pPr>
      <w:r>
        <w:rPr>
          <w:rFonts w:ascii="Arial" w:cs="Arial" w:eastAsia="Arial" w:hAnsi="Arial"/>
          <w:b/>
          <w:bCs/>
          <w:sz w:val="21"/>
          <w:szCs w:val="21"/>
        </w:rPr>
        <w:t xml:space="preserve">User-Controlled Weight: </w:t>
      </w:r>
      <w:r>
        <w:rPr>
          <w:rFonts w:ascii="Arial" w:cs="Arial" w:eastAsia="Arial" w:hAnsi="Arial"/>
          <w:sz w:val="21"/>
          <w:szCs w:val="21"/>
        </w:rPr>
        <w:t xml:space="preserve">Informational-only categories (school ratings, safety data) are shown in a separate "Community Context" section, clearly distinguished from scored attributes. Users may choose to incorporate them into their personal evaluation but the algorithm does not.</w:t>
      </w:r>
    </w:p>
    <w:p>
      <w:pPr>
        <w:pStyle w:val="ListParagraph"/>
        <w:numPr>
          <w:ilvl w:val="0"/>
          <w:numId w:val="2"/>
        </w:numPr>
        <w:spacing w:after="80" w:line="276"/>
      </w:pPr>
      <w:r>
        <w:rPr>
          <w:rFonts w:ascii="Arial" w:cs="Arial" w:eastAsia="Arial" w:hAnsi="Arial"/>
          <w:b/>
          <w:bCs/>
          <w:sz w:val="21"/>
          <w:szCs w:val="21"/>
        </w:rPr>
        <w:t xml:space="preserve">Source + Date Always Shown: </w:t>
      </w:r>
      <w:r>
        <w:rPr>
          <w:rFonts w:ascii="Arial" w:cs="Arial" w:eastAsia="Arial" w:hAnsi="Arial"/>
          <w:sz w:val="21"/>
          <w:szCs w:val="21"/>
        </w:rPr>
        <w:t xml:space="preserve">Every piece of neighborhood data includes: source name, data date range, geographic granularity ("census tract" vs. "city" vs. "1-mile radius"), and a link to the original source.</w:t>
      </w:r>
    </w:p>
    <w:p>
      <w:pPr>
        <w:pStyle w:val="ListParagraph"/>
        <w:numPr>
          <w:ilvl w:val="0"/>
          <w:numId w:val="2"/>
        </w:numPr>
        <w:spacing w:after="80" w:line="276"/>
      </w:pPr>
      <w:r>
        <w:rPr>
          <w:rFonts w:ascii="Arial" w:cs="Arial" w:eastAsia="Arial" w:hAnsi="Arial"/>
          <w:b/>
          <w:bCs/>
          <w:sz w:val="21"/>
          <w:szCs w:val="21"/>
        </w:rPr>
        <w:t xml:space="preserve">No Comparative Neighborhood Language: </w:t>
      </w:r>
      <w:r>
        <w:rPr>
          <w:rFonts w:ascii="Arial" w:cs="Arial" w:eastAsia="Arial" w:hAnsi="Arial"/>
          <w:sz w:val="21"/>
          <w:szCs w:val="21"/>
        </w:rPr>
        <w:t xml:space="preserve">The system never compares neighborhoods to each other in terms of safety, quality, or desirability. It presents data for the specific property location only.</w:t>
      </w:r>
    </w:p>
    <w:p>
      <w:pPr>
        <w:pStyle w:val="Heading2"/>
        <w:spacing w:before="280" w:after="160"/>
      </w:pPr>
      <w:r>
        <w:rPr>
          <w:rFonts w:ascii="Arial" w:cs="Arial" w:eastAsia="Arial" w:hAnsi="Arial"/>
          <w:b/>
          <w:bCs/>
          <w:color w:val="2E86C1"/>
          <w:sz w:val="26"/>
          <w:szCs w:val="26"/>
        </w:rPr>
        <w:t xml:space="preserve">5.3 Bias Monitoring &amp; Audit Schedule</w:t>
      </w:r>
    </w:p>
    <w:p>
      <w:pPr>
        <w:pStyle w:val="ListParagraph"/>
        <w:numPr>
          <w:ilvl w:val="0"/>
          <w:numId w:val="2"/>
        </w:numPr>
        <w:spacing w:after="80" w:line="276"/>
      </w:pPr>
      <w:r>
        <w:rPr>
          <w:rFonts w:ascii="Arial" w:cs="Arial" w:eastAsia="Arial" w:hAnsi="Arial"/>
          <w:b/>
          <w:bCs/>
          <w:sz w:val="21"/>
          <w:szCs w:val="21"/>
        </w:rPr>
        <w:t xml:space="preserve">Pre-Launch Audit: </w:t>
      </w:r>
      <w:r>
        <w:rPr>
          <w:rFonts w:ascii="Arial" w:cs="Arial" w:eastAsia="Arial" w:hAnsi="Arial"/>
          <w:sz w:val="21"/>
          <w:szCs w:val="21"/>
        </w:rPr>
        <w:t xml:space="preserve">Before beta launch, conduct a disparate impact analysis of Score v0 across a sample of 500+ properties, testing whether scores systematically differ across census tracts with different demographic compositions.</w:t>
      </w:r>
    </w:p>
    <w:p>
      <w:pPr>
        <w:pStyle w:val="ListParagraph"/>
        <w:numPr>
          <w:ilvl w:val="0"/>
          <w:numId w:val="2"/>
        </w:numPr>
        <w:spacing w:after="80" w:line="276"/>
      </w:pPr>
      <w:r>
        <w:rPr>
          <w:rFonts w:ascii="Arial" w:cs="Arial" w:eastAsia="Arial" w:hAnsi="Arial"/>
          <w:b/>
          <w:bCs/>
          <w:sz w:val="21"/>
          <w:szCs w:val="21"/>
        </w:rPr>
        <w:t xml:space="preserve">Quarterly Audits: </w:t>
      </w:r>
      <w:r>
        <w:rPr>
          <w:rFonts w:ascii="Arial" w:cs="Arial" w:eastAsia="Arial" w:hAnsi="Arial"/>
          <w:sz w:val="21"/>
          <w:szCs w:val="21"/>
        </w:rPr>
        <w:t xml:space="preserve">Every quarter, run automated fairness checks comparing score distributions across zip codes segmented by demographic profiles. Flag any sub-score that shows &gt;10% variance correlated with protected class demographics.</w:t>
      </w:r>
    </w:p>
    <w:p>
      <w:pPr>
        <w:pStyle w:val="ListParagraph"/>
        <w:numPr>
          <w:ilvl w:val="0"/>
          <w:numId w:val="2"/>
        </w:numPr>
        <w:spacing w:after="80" w:line="276"/>
      </w:pPr>
      <w:r>
        <w:rPr>
          <w:rFonts w:ascii="Arial" w:cs="Arial" w:eastAsia="Arial" w:hAnsi="Arial"/>
          <w:b/>
          <w:bCs/>
          <w:sz w:val="21"/>
          <w:szCs w:val="21"/>
        </w:rPr>
        <w:t xml:space="preserve">Annual Third-Party Review: </w:t>
      </w:r>
      <w:r>
        <w:rPr>
          <w:rFonts w:ascii="Arial" w:cs="Arial" w:eastAsia="Arial" w:hAnsi="Arial"/>
          <w:sz w:val="21"/>
          <w:szCs w:val="21"/>
        </w:rPr>
        <w:t xml:space="preserve">Engage an independent fair housing consultant to review scoring methodology, data sources, and user-facing language for compliance risks.</w:t>
      </w:r>
    </w:p>
    <w:p>
      <w:pPr>
        <w:pStyle w:val="ListParagraph"/>
        <w:numPr>
          <w:ilvl w:val="0"/>
          <w:numId w:val="2"/>
        </w:numPr>
        <w:spacing w:after="80" w:line="276"/>
      </w:pPr>
      <w:r>
        <w:rPr>
          <w:rFonts w:ascii="Arial" w:cs="Arial" w:eastAsia="Arial" w:hAnsi="Arial"/>
          <w:b/>
          <w:bCs/>
          <w:sz w:val="21"/>
          <w:szCs w:val="21"/>
        </w:rPr>
        <w:t xml:space="preserve">Change Review Process: </w:t>
      </w:r>
      <w:r>
        <w:rPr>
          <w:rFonts w:ascii="Arial" w:cs="Arial" w:eastAsia="Arial" w:hAnsi="Arial"/>
          <w:sz w:val="21"/>
          <w:szCs w:val="21"/>
        </w:rPr>
        <w:t xml:space="preserve">Any new data source, scoring dimension, or neighborhood-related feature must pass through a documented Fairness Review before implementation, signed off by legal counsel and the product ethics lead.</w:t>
      </w:r>
    </w:p>
    <w:p>
      <w:r>
        <w:br w:type="page"/>
      </w:r>
    </w:p>
    <w:p>
      <w:pPr>
        <w:pStyle w:val="Heading1"/>
        <w:spacing w:before="360" w:after="200"/>
      </w:pPr>
      <w:r>
        <w:rPr>
          <w:rFonts w:ascii="Arial" w:cs="Arial" w:eastAsia="Arial" w:hAnsi="Arial"/>
          <w:b/>
          <w:bCs/>
          <w:color w:val="1B4F72"/>
          <w:sz w:val="32"/>
          <w:szCs w:val="32"/>
        </w:rPr>
        <w:t xml:space="preserve">6. AI Safety Specification: Structured Output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2"/>
              <w:bottom w:val="single" w:color="C0392B" w:sz="1"/>
              <w:right w:val="single" w:color="C0392B" w:sz="1"/>
            </w:tcBorders>
            <w:shd w:fill="FADBD8" w:val="clear"/>
            <w:tcMar>
              <w:top w:type="dxa" w:w="120"/>
              <w:left w:type="dxa" w:w="200"/>
              <w:bottom w:type="dxa" w:w="120"/>
              <w:right w:type="dxa" w:w="200"/>
            </w:tcMar>
          </w:tcPr>
          <w:p>
            <w:pPr>
              <w:spacing w:after="60"/>
            </w:pPr>
            <w:r>
              <w:rPr>
                <w:rFonts w:ascii="Arial" w:cs="Arial" w:eastAsia="Arial" w:hAnsi="Arial"/>
                <w:b/>
                <w:bCs/>
                <w:color w:val="C0392B"/>
                <w:sz w:val="21"/>
                <w:szCs w:val="21"/>
              </w:rPr>
              <w:t xml:space="preserve">DESIGN PRINCIPLE</w:t>
            </w:r>
          </w:p>
          <w:p>
            <w:pPr>
              <w:spacing w:after="0"/>
            </w:pPr>
            <w:r>
              <w:rPr>
                <w:rFonts w:ascii="Arial" w:cs="Arial" w:eastAsia="Arial" w:hAnsi="Arial"/>
                <w:sz w:val="20"/>
                <w:szCs w:val="20"/>
              </w:rPr>
              <w:t xml:space="preserve">The LLM is a narrator, not an investigator. It can only generate text from retrieved facts and explicit estimates. It never invents facts, permit numbers, dates, or risk assessments.</w:t>
            </w:r>
          </w:p>
        </w:tc>
      </w:tr>
    </w:tbl>
    <w:p>
      <w:pPr>
        <w:spacing w:after="80"/>
      </w:pPr>
    </w:p>
    <w:p>
      <w:pPr>
        <w:pStyle w:val="Heading2"/>
        <w:spacing w:before="280" w:after="160"/>
      </w:pPr>
      <w:r>
        <w:rPr>
          <w:rFonts w:ascii="Arial" w:cs="Arial" w:eastAsia="Arial" w:hAnsi="Arial"/>
          <w:b/>
          <w:bCs/>
          <w:color w:val="2E86C1"/>
          <w:sz w:val="26"/>
          <w:szCs w:val="26"/>
        </w:rPr>
        <w:t xml:space="preserve">6.1 Grounding Architecture</w:t>
      </w:r>
    </w:p>
    <w:p>
      <w:pPr>
        <w:spacing w:after="160" w:line="276"/>
      </w:pPr>
      <w:r>
        <w:rPr>
          <w:rFonts w:ascii="Arial" w:cs="Arial" w:eastAsia="Arial" w:hAnsi="Arial"/>
          <w:sz w:val="21"/>
          <w:szCs w:val="21"/>
        </w:rPr>
        <w:t xml:space="preserve">All AI-generated outputs (pro/con lists, risk summaries, inspection report summaries, score explanations) follow a Retrieval-Augmented Generation (RAG) architecture with strict grounding constraints:</w:t>
      </w:r>
    </w:p>
    <w:p>
      <w:pPr>
        <w:pStyle w:val="ListParagraph"/>
        <w:numPr>
          <w:ilvl w:val="0"/>
          <w:numId w:val="3"/>
        </w:numPr>
        <w:spacing w:after="80" w:line="276"/>
      </w:pPr>
      <w:r>
        <w:rPr>
          <w:rFonts w:ascii="Arial" w:cs="Arial" w:eastAsia="Arial" w:hAnsi="Arial"/>
          <w:b/>
          <w:bCs/>
          <w:sz w:val="21"/>
          <w:szCs w:val="21"/>
        </w:rPr>
        <w:t xml:space="preserve">Retrieval Stage: </w:t>
      </w:r>
      <w:r>
        <w:rPr>
          <w:rFonts w:ascii="Arial" w:cs="Arial" w:eastAsia="Arial" w:hAnsi="Arial"/>
          <w:sz w:val="21"/>
          <w:szCs w:val="21"/>
        </w:rPr>
        <w:t xml:space="preserve">Structured data is fetched from verified sources (Listing Sleuth modules, financial calculations, user inputs) and formatted into a structured context document with source citations.</w:t>
      </w:r>
    </w:p>
    <w:p>
      <w:pPr>
        <w:pStyle w:val="ListParagraph"/>
        <w:numPr>
          <w:ilvl w:val="0"/>
          <w:numId w:val="3"/>
        </w:numPr>
        <w:spacing w:after="80" w:line="276"/>
      </w:pPr>
      <w:r>
        <w:rPr>
          <w:rFonts w:ascii="Arial" w:cs="Arial" w:eastAsia="Arial" w:hAnsi="Arial"/>
          <w:b/>
          <w:bCs/>
          <w:sz w:val="21"/>
          <w:szCs w:val="21"/>
        </w:rPr>
        <w:t xml:space="preserve">Generation Stage: </w:t>
      </w:r>
      <w:r>
        <w:rPr>
          <w:rFonts w:ascii="Arial" w:cs="Arial" w:eastAsia="Arial" w:hAnsi="Arial"/>
          <w:sz w:val="21"/>
          <w:szCs w:val="21"/>
        </w:rPr>
        <w:t xml:space="preserve">The LLM generates narrative text conditioned ONLY on the provided context document. System prompts explicitly instruct: "You may only reference data provided in the context. If information is not present, state that data is unavailable. Never infer, estimate, or invent facts."</w:t>
      </w:r>
    </w:p>
    <w:p>
      <w:pPr>
        <w:pStyle w:val="ListParagraph"/>
        <w:numPr>
          <w:ilvl w:val="0"/>
          <w:numId w:val="3"/>
        </w:numPr>
        <w:spacing w:after="80" w:line="276"/>
      </w:pPr>
      <w:r>
        <w:rPr>
          <w:rFonts w:ascii="Arial" w:cs="Arial" w:eastAsia="Arial" w:hAnsi="Arial"/>
          <w:b/>
          <w:bCs/>
          <w:sz w:val="21"/>
          <w:szCs w:val="21"/>
        </w:rPr>
        <w:t xml:space="preserve">Validation Stage: </w:t>
      </w:r>
      <w:r>
        <w:rPr>
          <w:rFonts w:ascii="Arial" w:cs="Arial" w:eastAsia="Arial" w:hAnsi="Arial"/>
          <w:sz w:val="21"/>
          <w:szCs w:val="21"/>
        </w:rPr>
        <w:t xml:space="preserve">Post-generation, an automated fact-checker verifies that every factual claim in the output can be traced to a specific field in the context document. Claims that fail validation are either removed or flagged as "AI-generated interpretation — verify independently."</w:t>
      </w:r>
    </w:p>
    <w:p>
      <w:pPr>
        <w:pStyle w:val="Heading2"/>
        <w:spacing w:before="280" w:after="160"/>
      </w:pPr>
      <w:r>
        <w:rPr>
          <w:rFonts w:ascii="Arial" w:cs="Arial" w:eastAsia="Arial" w:hAnsi="Arial"/>
          <w:b/>
          <w:bCs/>
          <w:color w:val="2E86C1"/>
          <w:sz w:val="26"/>
          <w:szCs w:val="26"/>
        </w:rPr>
        <w:t xml:space="preserve">6.2 Output Classification &amp; Grounding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Output Type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Grounding Requirement</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Citation Required</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Hallucination Risk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 Card (Listing Sleuth finding)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Must reference specific data source + value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Yes — source, date, grade</w:t>
            </w:r>
          </w:p>
        </w:tc>
        <w:tc>
          <w:tcPr>
            <w:tcW w:type="dxa" w:w="234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 — wrong facts destroy trust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Pro/Con List Items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Each item must map to a scored dimension or retrieved fact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Yes — dimension reference</w:t>
            </w:r>
          </w:p>
        </w:tc>
        <w:tc>
          <w:tcPr>
            <w:tcW w:type="dxa" w:w="23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Medium — over-generalization risk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Score Explanation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Must reference specific sub-scores and weights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Yes — sub-score values</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Low — deterministic calculation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Inspection Summary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Must quote/paraphrase uploaded document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Yes — page/section ref</w:t>
            </w:r>
          </w:p>
        </w:tc>
        <w:tc>
          <w:tcPr>
            <w:tcW w:type="dxa" w:w="234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 — misinterpretation risk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to Do Next" Guidance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General advice templates; no property-specific legal claims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 — but must disclaim</w:t>
            </w:r>
          </w:p>
        </w:tc>
        <w:tc>
          <w:tcPr>
            <w:tcW w:type="dxa" w:w="23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Medium — over-promising risk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Financial Calculations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Deterministic; no LLM involvement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Yes — rate source, date</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None — computed, not generated</w:t>
            </w:r>
          </w:p>
        </w:tc>
      </w:tr>
    </w:tbl>
    <w:p>
      <w:pPr>
        <w:spacing w:after="80"/>
      </w:pPr>
    </w:p>
    <w:p>
      <w:pPr>
        <w:pStyle w:val="Heading2"/>
        <w:spacing w:before="280" w:after="160"/>
      </w:pPr>
      <w:r>
        <w:rPr>
          <w:rFonts w:ascii="Arial" w:cs="Arial" w:eastAsia="Arial" w:hAnsi="Arial"/>
          <w:b/>
          <w:bCs/>
          <w:color w:val="2E86C1"/>
          <w:sz w:val="26"/>
          <w:szCs w:val="26"/>
        </w:rPr>
        <w:t xml:space="preserve">6.3 Citation UI Spec</w:t>
      </w:r>
    </w:p>
    <w:p>
      <w:pPr>
        <w:spacing w:after="160" w:line="276"/>
      </w:pPr>
      <w:r>
        <w:rPr>
          <w:rFonts w:ascii="Arial" w:cs="Arial" w:eastAsia="Arial" w:hAnsi="Arial"/>
          <w:sz w:val="21"/>
          <w:szCs w:val="21"/>
        </w:rPr>
        <w:t xml:space="preserve">Every AI-generated insight displayed to the user includes a citation footer with the following elements:</w:t>
      </w:r>
    </w:p>
    <w:p>
      <w:pPr>
        <w:pStyle w:val="ListParagraph"/>
        <w:numPr>
          <w:ilvl w:val="0"/>
          <w:numId w:val="2"/>
        </w:numPr>
        <w:spacing w:after="80" w:line="276"/>
      </w:pPr>
      <w:r>
        <w:rPr>
          <w:rFonts w:ascii="Arial" w:cs="Arial" w:eastAsia="Arial" w:hAnsi="Arial"/>
          <w:b/>
          <w:bCs/>
          <w:sz w:val="21"/>
          <w:szCs w:val="21"/>
        </w:rPr>
        <w:t xml:space="preserve">Source Badge: </w:t>
      </w:r>
      <w:r>
        <w:rPr>
          <w:rFonts w:ascii="Arial" w:cs="Arial" w:eastAsia="Arial" w:hAnsi="Arial"/>
          <w:sz w:val="21"/>
          <w:szCs w:val="21"/>
        </w:rPr>
        <w:t xml:space="preserve">Small inline badge showing data source name (e.g., "FEMA NFHL", "SF DBI Permits", "Walk Score").</w:t>
      </w:r>
    </w:p>
    <w:p>
      <w:pPr>
        <w:pStyle w:val="ListParagraph"/>
        <w:numPr>
          <w:ilvl w:val="0"/>
          <w:numId w:val="2"/>
        </w:numPr>
        <w:spacing w:after="80" w:line="276"/>
      </w:pPr>
      <w:r>
        <w:rPr>
          <w:rFonts w:ascii="Arial" w:cs="Arial" w:eastAsia="Arial" w:hAnsi="Arial"/>
          <w:b/>
          <w:bCs/>
          <w:sz w:val="21"/>
          <w:szCs w:val="21"/>
        </w:rPr>
        <w:t xml:space="preserve">Freshness Timestamp: </w:t>
      </w:r>
      <w:r>
        <w:rPr>
          <w:rFonts w:ascii="Arial" w:cs="Arial" w:eastAsia="Arial" w:hAnsi="Arial"/>
          <w:sz w:val="21"/>
          <w:szCs w:val="21"/>
        </w:rPr>
        <w:t xml:space="preserve">"Data as of [date]" shown in muted text below each finding.</w:t>
      </w:r>
    </w:p>
    <w:p>
      <w:pPr>
        <w:pStyle w:val="ListParagraph"/>
        <w:numPr>
          <w:ilvl w:val="0"/>
          <w:numId w:val="2"/>
        </w:numPr>
        <w:spacing w:after="80" w:line="276"/>
      </w:pPr>
      <w:r>
        <w:rPr>
          <w:rFonts w:ascii="Arial" w:cs="Arial" w:eastAsia="Arial" w:hAnsi="Arial"/>
          <w:b/>
          <w:bCs/>
          <w:sz w:val="21"/>
          <w:szCs w:val="21"/>
        </w:rPr>
        <w:t xml:space="preserve">Reliability Grade: </w:t>
      </w:r>
      <w:r>
        <w:rPr>
          <w:rFonts w:ascii="Arial" w:cs="Arial" w:eastAsia="Arial" w:hAnsi="Arial"/>
          <w:sz w:val="21"/>
          <w:szCs w:val="21"/>
        </w:rPr>
        <w:t xml:space="preserve">A/B/C badge (see Section 3.1) with tooltip explaining what the grade means.</w:t>
      </w:r>
    </w:p>
    <w:p>
      <w:pPr>
        <w:pStyle w:val="ListParagraph"/>
        <w:numPr>
          <w:ilvl w:val="0"/>
          <w:numId w:val="2"/>
        </w:numPr>
        <w:spacing w:after="80" w:line="276"/>
      </w:pPr>
      <w:r>
        <w:rPr>
          <w:rFonts w:ascii="Arial" w:cs="Arial" w:eastAsia="Arial" w:hAnsi="Arial"/>
          <w:b/>
          <w:bCs/>
          <w:sz w:val="21"/>
          <w:szCs w:val="21"/>
        </w:rPr>
        <w:t xml:space="preserve">"Dig Deeper" Link: </w:t>
      </w:r>
      <w:r>
        <w:rPr>
          <w:rFonts w:ascii="Arial" w:cs="Arial" w:eastAsia="Arial" w:hAnsi="Arial"/>
          <w:sz w:val="21"/>
          <w:szCs w:val="21"/>
        </w:rPr>
        <w:t xml:space="preserve">Link to original source where possible, so the user can verify independently.</w:t>
      </w:r>
    </w:p>
    <w:p>
      <w:pPr>
        <w:pStyle w:val="Heading2"/>
        <w:spacing w:before="280" w:after="160"/>
      </w:pPr>
      <w:r>
        <w:rPr>
          <w:rFonts w:ascii="Arial" w:cs="Arial" w:eastAsia="Arial" w:hAnsi="Arial"/>
          <w:b/>
          <w:bCs/>
          <w:color w:val="2E86C1"/>
          <w:sz w:val="26"/>
          <w:szCs w:val="26"/>
        </w:rPr>
        <w:t xml:space="preserve">6.4 Source Disagreement Protocol</w:t>
      </w:r>
    </w:p>
    <w:p>
      <w:pPr>
        <w:spacing w:after="160" w:line="276"/>
      </w:pPr>
      <w:r>
        <w:rPr>
          <w:rFonts w:ascii="Arial" w:cs="Arial" w:eastAsia="Arial" w:hAnsi="Arial"/>
          <w:sz w:val="21"/>
          <w:szCs w:val="21"/>
        </w:rPr>
        <w:t xml:space="preserve">When two sources provide conflicting information about the same property attribute, the system follows this hierarchy:</w:t>
      </w:r>
    </w:p>
    <w:p>
      <w:pPr>
        <w:pStyle w:val="ListParagraph"/>
        <w:numPr>
          <w:ilvl w:val="0"/>
          <w:numId w:val="4"/>
        </w:numPr>
        <w:spacing w:after="80" w:line="276"/>
      </w:pPr>
      <w:r>
        <w:rPr>
          <w:rFonts w:ascii="Arial" w:cs="Arial" w:eastAsia="Arial" w:hAnsi="Arial"/>
          <w:sz w:val="21"/>
          <w:szCs w:val="21"/>
        </w:rPr>
        <w:t xml:space="preserve">Display both values with their respective sources and dates.</w:t>
      </w:r>
    </w:p>
    <w:p>
      <w:pPr>
        <w:pStyle w:val="ListParagraph"/>
        <w:numPr>
          <w:ilvl w:val="0"/>
          <w:numId w:val="4"/>
        </w:numPr>
        <w:spacing w:after="80" w:line="276"/>
      </w:pPr>
      <w:r>
        <w:rPr>
          <w:rFonts w:ascii="Arial" w:cs="Arial" w:eastAsia="Arial" w:hAnsi="Arial"/>
          <w:sz w:val="21"/>
          <w:szCs w:val="21"/>
        </w:rPr>
        <w:t xml:space="preserve">Flag the discrepancy explicitly: "We found conflicting information about [attribute]."</w:t>
      </w:r>
    </w:p>
    <w:p>
      <w:pPr>
        <w:pStyle w:val="ListParagraph"/>
        <w:numPr>
          <w:ilvl w:val="0"/>
          <w:numId w:val="4"/>
        </w:numPr>
        <w:spacing w:after="80" w:line="276"/>
      </w:pPr>
      <w:r>
        <w:rPr>
          <w:rFonts w:ascii="Arial" w:cs="Arial" w:eastAsia="Arial" w:hAnsi="Arial"/>
          <w:sz w:val="21"/>
          <w:szCs w:val="21"/>
        </w:rPr>
        <w:t xml:space="preserve">Indicate which source is considered more authoritative (e.g., county records &gt; listing data) but do not hide the conflict.</w:t>
      </w:r>
    </w:p>
    <w:p>
      <w:pPr>
        <w:pStyle w:val="ListParagraph"/>
        <w:numPr>
          <w:ilvl w:val="0"/>
          <w:numId w:val="4"/>
        </w:numPr>
        <w:spacing w:after="80" w:line="276"/>
      </w:pPr>
      <w:r>
        <w:rPr>
          <w:rFonts w:ascii="Arial" w:cs="Arial" w:eastAsia="Arial" w:hAnsi="Arial"/>
          <w:sz w:val="21"/>
          <w:szCs w:val="21"/>
        </w:rPr>
        <w:t xml:space="preserve">For Risk Profile scoring, use the more conservative (higher risk) value to err on the side of caution.</w:t>
      </w:r>
    </w:p>
    <w:p>
      <w:pPr>
        <w:pStyle w:val="ListParagraph"/>
        <w:numPr>
          <w:ilvl w:val="0"/>
          <w:numId w:val="4"/>
        </w:numPr>
        <w:spacing w:after="80" w:line="276"/>
      </w:pPr>
      <w:r>
        <w:rPr>
          <w:rFonts w:ascii="Arial" w:cs="Arial" w:eastAsia="Arial" w:hAnsi="Arial"/>
          <w:sz w:val="21"/>
          <w:szCs w:val="21"/>
        </w:rPr>
        <w:t xml:space="preserve">Add a "What to do" prompt: "Ask the seller or listing agent to clarify this discrepancy."</w:t>
      </w:r>
    </w:p>
    <w:p>
      <w:pPr>
        <w:pStyle w:val="Heading2"/>
        <w:spacing w:before="280" w:after="160"/>
      </w:pPr>
      <w:r>
        <w:rPr>
          <w:rFonts w:ascii="Arial" w:cs="Arial" w:eastAsia="Arial" w:hAnsi="Arial"/>
          <w:b/>
          <w:bCs/>
          <w:color w:val="2E86C1"/>
          <w:sz w:val="26"/>
          <w:szCs w:val="26"/>
        </w:rPr>
        <w:t xml:space="preserve">6.5 Prohibited LLM Behaviors</w:t>
      </w:r>
    </w:p>
    <w:p>
      <w:pPr>
        <w:pStyle w:val="ListParagraph"/>
        <w:numPr>
          <w:ilvl w:val="0"/>
          <w:numId w:val="2"/>
        </w:numPr>
        <w:spacing w:after="80" w:line="276"/>
      </w:pPr>
      <w:r>
        <w:rPr>
          <w:rFonts w:ascii="Arial" w:cs="Arial" w:eastAsia="Arial" w:hAnsi="Arial"/>
          <w:sz w:val="21"/>
          <w:szCs w:val="21"/>
        </w:rPr>
        <w:t xml:space="preserve">The LLM must NEVER generate specific permit numbers, dates, or case numbers that are not in the context.</w:t>
      </w:r>
    </w:p>
    <w:p>
      <w:pPr>
        <w:pStyle w:val="ListParagraph"/>
        <w:numPr>
          <w:ilvl w:val="0"/>
          <w:numId w:val="2"/>
        </w:numPr>
        <w:spacing w:after="80" w:line="276"/>
      </w:pPr>
      <w:r>
        <w:rPr>
          <w:rFonts w:ascii="Arial" w:cs="Arial" w:eastAsia="Arial" w:hAnsi="Arial"/>
          <w:sz w:val="21"/>
          <w:szCs w:val="21"/>
        </w:rPr>
        <w:t xml:space="preserve">The LLM must NEVER state that a property "passes" or "fails" any inspection or compliance check.</w:t>
      </w:r>
    </w:p>
    <w:p>
      <w:pPr>
        <w:pStyle w:val="ListParagraph"/>
        <w:numPr>
          <w:ilvl w:val="0"/>
          <w:numId w:val="2"/>
        </w:numPr>
        <w:spacing w:after="80" w:line="276"/>
      </w:pPr>
      <w:r>
        <w:rPr>
          <w:rFonts w:ascii="Arial" w:cs="Arial" w:eastAsia="Arial" w:hAnsi="Arial"/>
          <w:sz w:val="21"/>
          <w:szCs w:val="21"/>
        </w:rPr>
        <w:t xml:space="preserve">The LLM must NEVER provide legal advice or state that an action is "required" or "illegal."</w:t>
      </w:r>
    </w:p>
    <w:p>
      <w:pPr>
        <w:pStyle w:val="ListParagraph"/>
        <w:numPr>
          <w:ilvl w:val="0"/>
          <w:numId w:val="2"/>
        </w:numPr>
        <w:spacing w:after="80" w:line="276"/>
      </w:pPr>
      <w:r>
        <w:rPr>
          <w:rFonts w:ascii="Arial" w:cs="Arial" w:eastAsia="Arial" w:hAnsi="Arial"/>
          <w:sz w:val="21"/>
          <w:szCs w:val="21"/>
        </w:rPr>
        <w:t xml:space="preserve">The LLM must NEVER characterize a neighborhood as "good," "bad," "safe," "dangerous," or any evaluative term.</w:t>
      </w:r>
    </w:p>
    <w:p>
      <w:pPr>
        <w:pStyle w:val="ListParagraph"/>
        <w:numPr>
          <w:ilvl w:val="0"/>
          <w:numId w:val="2"/>
        </w:numPr>
        <w:spacing w:after="80" w:line="276"/>
      </w:pPr>
      <w:r>
        <w:rPr>
          <w:rFonts w:ascii="Arial" w:cs="Arial" w:eastAsia="Arial" w:hAnsi="Arial"/>
          <w:sz w:val="21"/>
          <w:szCs w:val="21"/>
        </w:rPr>
        <w:t xml:space="preserve">The LLM must NEVER recommend buying or not buying a specific property.</w:t>
      </w:r>
    </w:p>
    <w:p>
      <w:pPr>
        <w:pStyle w:val="ListParagraph"/>
        <w:numPr>
          <w:ilvl w:val="0"/>
          <w:numId w:val="2"/>
        </w:numPr>
        <w:spacing w:after="80" w:line="276"/>
      </w:pPr>
      <w:r>
        <w:rPr>
          <w:rFonts w:ascii="Arial" w:cs="Arial" w:eastAsia="Arial" w:hAnsi="Arial"/>
          <w:sz w:val="21"/>
          <w:szCs w:val="21"/>
        </w:rPr>
        <w:t xml:space="preserve">The LLM must NEVER generate dollar amounts for repairs or improvements unless sourced from the Value Estimator cost model (v1).</w:t>
      </w:r>
    </w:p>
    <w:p>
      <w:r>
        <w:br w:type="page"/>
      </w:r>
    </w:p>
    <w:p>
      <w:pPr>
        <w:pStyle w:val="Heading1"/>
        <w:spacing w:before="360" w:after="200"/>
      </w:pPr>
      <w:r>
        <w:rPr>
          <w:rFonts w:ascii="Arial" w:cs="Arial" w:eastAsia="Arial" w:hAnsi="Arial"/>
          <w:b/>
          <w:bCs/>
          <w:color w:val="1B4F72"/>
          <w:sz w:val="32"/>
          <w:szCs w:val="32"/>
        </w:rPr>
        <w:t xml:space="preserve">7. Unit Economics &amp; Cost-to-Serve Model</w:t>
      </w:r>
    </w:p>
    <w:p>
      <w:pPr>
        <w:pStyle w:val="Heading2"/>
        <w:spacing w:before="280" w:after="160"/>
      </w:pPr>
      <w:r>
        <w:rPr>
          <w:rFonts w:ascii="Arial" w:cs="Arial" w:eastAsia="Arial" w:hAnsi="Arial"/>
          <w:b/>
          <w:bCs/>
          <w:color w:val="2E86C1"/>
          <w:sz w:val="26"/>
          <w:szCs w:val="26"/>
        </w:rPr>
        <w:t xml:space="preserve">7.1 Cost Per Property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80"/>
        <w:gridCol w:w="1560"/>
        <w:gridCol w:w="1560"/>
        <w:gridCol w:w="2860"/>
      </w:tblGrid>
      <w:tr>
        <w:tc>
          <w:tcPr>
            <w:tcW w:type="dxa" w:w="33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Cost Component</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Per Eval</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Monthly (Pro)</w:t>
            </w:r>
          </w:p>
        </w:tc>
        <w:tc>
          <w:tcPr>
            <w:tcW w:type="dxa" w:w="2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Notes</w:t>
            </w:r>
          </w:p>
        </w:tc>
      </w:tr>
      <w:tr>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LLM Inference (pro/con, summaries)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$0.08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$0.40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~2K input + 1K output tokens per eval; 5 evals/mo avg for Pro</w:t>
            </w:r>
          </w:p>
        </w:tc>
      </w:tr>
      <w:tr>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Listing Sleuth Data Calls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$0.12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$0.60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FEMA, EPA, Walk Score APIs; cached aggressively</w:t>
            </w:r>
          </w:p>
        </w:tc>
      </w:tr>
      <w:tr>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Geocoding + Commute APIs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$0.04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$0.20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Google Maps APIs; batched where possible</w:t>
            </w:r>
          </w:p>
        </w:tc>
      </w:tr>
      <w:tr>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Cloud Compute + Storage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$0.03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$0.15</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Lambda/Cloud Functions; S3/GCS for photos</w:t>
            </w:r>
          </w:p>
        </w:tc>
      </w:tr>
      <w:tr>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PDF Report Generation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$0.05</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Server-side rendering; only on user request</w:t>
            </w:r>
          </w:p>
        </w:tc>
      </w:tr>
      <w:tr>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Address Resolution / APN Lookup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$0.10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Geocoding + county APN match</w:t>
            </w:r>
          </w:p>
        </w:tc>
      </w:tr>
      <w:tr>
        <w:tc>
          <w:tcPr>
            <w:tcW w:type="dxa" w:w="33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Total Cost Per Evaluation</w:t>
            </w:r>
          </w:p>
        </w:tc>
        <w:tc>
          <w:tcPr>
            <w:tcW w:type="dxa" w:w="1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$0.30</w:t>
            </w:r>
          </w:p>
        </w:tc>
        <w:tc>
          <w:tcPr>
            <w:tcW w:type="dxa" w:w="1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$1.50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At 5 evals/month for Pro user</w:t>
            </w:r>
          </w:p>
        </w:tc>
      </w:tr>
    </w:tbl>
    <w:p>
      <w:pPr>
        <w:spacing w:after="80"/>
      </w:pPr>
    </w:p>
    <w:p>
      <w:pPr>
        <w:pStyle w:val="Heading2"/>
        <w:spacing w:before="280" w:after="160"/>
      </w:pPr>
      <w:r>
        <w:rPr>
          <w:rFonts w:ascii="Arial" w:cs="Arial" w:eastAsia="Arial" w:hAnsi="Arial"/>
          <w:b/>
          <w:bCs/>
          <w:color w:val="2E86C1"/>
          <w:sz w:val="26"/>
          <w:szCs w:val="26"/>
        </w:rPr>
        <w:t xml:space="preserve">7.2 Margin Analysis by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Metric</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Free Tier</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Pro ($14.99)</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Premium ($29.99)</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Blended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Avg Evals/Month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Cost to Serve/Month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$0.45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$2.40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Revenue/Month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$14.99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$29.99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Gross Margin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90.0%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92.0%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~78%</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Estimated User Mix</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70%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ARPU (blended)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$5.70/mo</w:t>
            </w:r>
          </w:p>
        </w:tc>
      </w:tr>
    </w:tbl>
    <w:p>
      <w:pPr>
        <w:spacing w:after="80"/>
      </w:pPr>
    </w:p>
    <w:p>
      <w:pPr>
        <w:pStyle w:val="Heading2"/>
        <w:spacing w:before="280" w:after="160"/>
      </w:pPr>
      <w:r>
        <w:rPr>
          <w:rFonts w:ascii="Arial" w:cs="Arial" w:eastAsia="Arial" w:hAnsi="Arial"/>
          <w:b/>
          <w:bCs/>
          <w:color w:val="2E86C1"/>
          <w:sz w:val="26"/>
          <w:szCs w:val="26"/>
        </w:rPr>
        <w:t xml:space="preserve">7.3 Caching &amp; Rate Limiting Strategy</w:t>
      </w:r>
    </w:p>
    <w:p>
      <w:pPr>
        <w:spacing w:after="160" w:line="276"/>
      </w:pPr>
      <w:r>
        <w:rPr>
          <w:rFonts w:ascii="Arial" w:cs="Arial" w:eastAsia="Arial" w:hAnsi="Arial"/>
          <w:sz w:val="21"/>
          <w:szCs w:val="21"/>
        </w:rPr>
        <w:t xml:space="preserve">To manage costs and maintain margins, the system implements aggressive caching:</w:t>
      </w:r>
    </w:p>
    <w:p>
      <w:pPr>
        <w:pStyle w:val="ListParagraph"/>
        <w:numPr>
          <w:ilvl w:val="0"/>
          <w:numId w:val="2"/>
        </w:numPr>
        <w:spacing w:after="80" w:line="276"/>
      </w:pPr>
      <w:r>
        <w:rPr>
          <w:rFonts w:ascii="Arial" w:cs="Arial" w:eastAsia="Arial" w:hAnsi="Arial"/>
          <w:b/>
          <w:bCs/>
          <w:sz w:val="21"/>
          <w:szCs w:val="21"/>
        </w:rPr>
        <w:t xml:space="preserve">Listing Sleuth Results: </w:t>
      </w:r>
      <w:r>
        <w:rPr>
          <w:rFonts w:ascii="Arial" w:cs="Arial" w:eastAsia="Arial" w:hAnsi="Arial"/>
          <w:sz w:val="21"/>
          <w:szCs w:val="21"/>
        </w:rPr>
        <w:t xml:space="preserve">Cached per property for 7 days (Free) or 1 day (Pro/Premium). Cache invalidated on source data update.</w:t>
      </w:r>
    </w:p>
    <w:p>
      <w:pPr>
        <w:pStyle w:val="ListParagraph"/>
        <w:numPr>
          <w:ilvl w:val="0"/>
          <w:numId w:val="2"/>
        </w:numPr>
        <w:spacing w:after="80" w:line="276"/>
      </w:pPr>
      <w:r>
        <w:rPr>
          <w:rFonts w:ascii="Arial" w:cs="Arial" w:eastAsia="Arial" w:hAnsi="Arial"/>
          <w:b/>
          <w:bCs/>
          <w:sz w:val="21"/>
          <w:szCs w:val="21"/>
        </w:rPr>
        <w:t xml:space="preserve">Commute Calculations: </w:t>
      </w:r>
      <w:r>
        <w:rPr>
          <w:rFonts w:ascii="Arial" w:cs="Arial" w:eastAsia="Arial" w:hAnsi="Arial"/>
          <w:sz w:val="21"/>
          <w:szCs w:val="21"/>
        </w:rPr>
        <w:t xml:space="preserve">Cached per origin-destination pair for 24 hours. Rush hour and off-peak computed in single batch call.</w:t>
      </w:r>
    </w:p>
    <w:p>
      <w:pPr>
        <w:pStyle w:val="ListParagraph"/>
        <w:numPr>
          <w:ilvl w:val="0"/>
          <w:numId w:val="2"/>
        </w:numPr>
        <w:spacing w:after="80" w:line="276"/>
      </w:pPr>
      <w:r>
        <w:rPr>
          <w:rFonts w:ascii="Arial" w:cs="Arial" w:eastAsia="Arial" w:hAnsi="Arial"/>
          <w:b/>
          <w:bCs/>
          <w:sz w:val="21"/>
          <w:szCs w:val="21"/>
        </w:rPr>
        <w:t xml:space="preserve">LLM Outputs: </w:t>
      </w:r>
      <w:r>
        <w:rPr>
          <w:rFonts w:ascii="Arial" w:cs="Arial" w:eastAsia="Arial" w:hAnsi="Arial"/>
          <w:sz w:val="21"/>
          <w:szCs w:val="21"/>
        </w:rPr>
        <w:t xml:space="preserve">Pro/con lists and score explanations cached until underlying data changes. Not regenerated on every page view.</w:t>
      </w:r>
    </w:p>
    <w:p>
      <w:pPr>
        <w:pStyle w:val="ListParagraph"/>
        <w:numPr>
          <w:ilvl w:val="0"/>
          <w:numId w:val="2"/>
        </w:numPr>
        <w:spacing w:after="80" w:line="276"/>
      </w:pPr>
      <w:r>
        <w:rPr>
          <w:rFonts w:ascii="Arial" w:cs="Arial" w:eastAsia="Arial" w:hAnsi="Arial"/>
          <w:b/>
          <w:bCs/>
          <w:sz w:val="21"/>
          <w:szCs w:val="21"/>
        </w:rPr>
        <w:t xml:space="preserve">Free Tier Rate Limits: </w:t>
      </w:r>
      <w:r>
        <w:rPr>
          <w:rFonts w:ascii="Arial" w:cs="Arial" w:eastAsia="Arial" w:hAnsi="Arial"/>
          <w:sz w:val="21"/>
          <w:szCs w:val="21"/>
        </w:rPr>
        <w:t xml:space="preserve">3 property evaluations total; 1 Listing Sleuth report per property; no PDF export. This ensures free users experience the value while limiting cost exposure.</w:t>
      </w:r>
    </w:p>
    <w:p>
      <w:pPr>
        <w:pStyle w:val="Heading2"/>
        <w:spacing w:before="280" w:after="160"/>
      </w:pPr>
      <w:r>
        <w:rPr>
          <w:rFonts w:ascii="Arial" w:cs="Arial" w:eastAsia="Arial" w:hAnsi="Arial"/>
          <w:b/>
          <w:bCs/>
          <w:color w:val="2E86C1"/>
          <w:sz w:val="26"/>
          <w:szCs w:val="26"/>
        </w:rPr>
        <w:t xml:space="preserve">7.4 Funnel Assumptions &amp; Sensitivity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2340"/>
        <w:gridCol w:w="2080"/>
        <w:gridCol w:w="2080"/>
      </w:tblGrid>
      <w:tr>
        <w:tc>
          <w:tcPr>
            <w:tcW w:type="dxa" w:w="2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Funnel Stage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Base Case</w:t>
            </w:r>
          </w:p>
        </w:tc>
        <w:tc>
          <w:tcPr>
            <w:tcW w:type="dxa" w:w="20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Bear Case</w:t>
            </w:r>
          </w:p>
        </w:tc>
        <w:tc>
          <w:tcPr>
            <w:tcW w:type="dxa" w:w="20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Bull Case</w:t>
            </w:r>
          </w:p>
        </w:tc>
      </w:tr>
      <w:tr>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Registered Users (Yr 2)</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400,000</w:t>
            </w:r>
          </w:p>
        </w:tc>
        <w:tc>
          <w:tcPr>
            <w:tcW w:type="dxa" w:w="20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200,000</w:t>
            </w:r>
          </w:p>
        </w:tc>
        <w:tc>
          <w:tcPr>
            <w:tcW w:type="dxa" w:w="20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700,000</w:t>
            </w:r>
          </w:p>
        </w:tc>
      </w:tr>
      <w:tr>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MAU/Registered Ratio</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35%</w:t>
            </w:r>
          </w:p>
        </w:tc>
        <w:tc>
          <w:tcPr>
            <w:tcW w:type="dxa" w:w="20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25%</w:t>
            </w:r>
          </w:p>
        </w:tc>
        <w:tc>
          <w:tcPr>
            <w:tcW w:type="dxa" w:w="20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45%</w:t>
            </w:r>
          </w:p>
        </w:tc>
      </w:tr>
      <w:tr>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MAU (Yr 2)</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140,000</w:t>
            </w:r>
          </w:p>
        </w:tc>
        <w:tc>
          <w:tcPr>
            <w:tcW w:type="dxa" w:w="20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50,000</w:t>
            </w:r>
          </w:p>
        </w:tc>
        <w:tc>
          <w:tcPr>
            <w:tcW w:type="dxa" w:w="20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315,000</w:t>
            </w:r>
          </w:p>
        </w:tc>
      </w:tr>
      <w:tr>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DAU/MAU Ratio</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28%</w:t>
            </w:r>
          </w:p>
        </w:tc>
        <w:tc>
          <w:tcPr>
            <w:tcW w:type="dxa" w:w="20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20%</w:t>
            </w:r>
          </w:p>
        </w:tc>
        <w:tc>
          <w:tcPr>
            <w:tcW w:type="dxa" w:w="20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35%</w:t>
            </w:r>
          </w:p>
        </w:tc>
      </w:tr>
      <w:tr>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DAU (Yr 2)</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~40K</w:t>
            </w:r>
          </w:p>
        </w:tc>
        <w:tc>
          <w:tcPr>
            <w:tcW w:type="dxa" w:w="20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~10K</w:t>
            </w:r>
          </w:p>
        </w:tc>
        <w:tc>
          <w:tcPr>
            <w:tcW w:type="dxa" w:w="20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~110K</w:t>
            </w:r>
          </w:p>
        </w:tc>
      </w:tr>
      <w:tr>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Free → Pro Conversion</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20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20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12%</w:t>
            </w:r>
          </w:p>
        </w:tc>
      </w:tr>
      <w:tr>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Pro → Premium Upsell</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20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20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22%</w:t>
            </w:r>
          </w:p>
        </w:tc>
      </w:tr>
      <w:tr>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Paying Users (Yr 2)</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~42K</w:t>
            </w:r>
          </w:p>
        </w:tc>
        <w:tc>
          <w:tcPr>
            <w:tcW w:type="dxa" w:w="20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~12K</w:t>
            </w:r>
          </w:p>
        </w:tc>
        <w:tc>
          <w:tcPr>
            <w:tcW w:type="dxa" w:w="20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~107K</w:t>
            </w:r>
          </w:p>
        </w:tc>
      </w:tr>
      <w:tr>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Consumer ARR (Yr 2)</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$3.6M</w:t>
            </w:r>
          </w:p>
        </w:tc>
        <w:tc>
          <w:tcPr>
            <w:tcW w:type="dxa" w:w="20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$1.0M</w:t>
            </w:r>
          </w:p>
        </w:tc>
        <w:tc>
          <w:tcPr>
            <w:tcW w:type="dxa" w:w="20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$9.2M</w:t>
            </w:r>
          </w:p>
        </w:tc>
      </w:tr>
      <w:tr>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B2B Revenue (Yr 2)</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$1.5M</w:t>
            </w:r>
          </w:p>
        </w:tc>
        <w:tc>
          <w:tcPr>
            <w:tcW w:type="dxa" w:w="20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$0.5M</w:t>
            </w:r>
          </w:p>
        </w:tc>
        <w:tc>
          <w:tcPr>
            <w:tcW w:type="dxa" w:w="20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$3.0M</w:t>
            </w:r>
          </w:p>
        </w:tc>
      </w:tr>
      <w:tr>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Total ARR (Yr 2)</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$5.1M</w:t>
            </w:r>
          </w:p>
        </w:tc>
        <w:tc>
          <w:tcPr>
            <w:tcW w:type="dxa" w:w="20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$1.5M</w:t>
            </w:r>
          </w:p>
        </w:tc>
        <w:tc>
          <w:tcPr>
            <w:tcW w:type="dxa" w:w="20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$12.2M</w:t>
            </w:r>
          </w:p>
        </w:tc>
      </w:tr>
    </w:tbl>
    <w:p>
      <w:pPr>
        <w:spacing w:after="80"/>
      </w:pPr>
    </w:p>
    <w:p>
      <w:pPr>
        <w:spacing w:after="160" w:line="276"/>
      </w:pPr>
      <w:r>
        <w:rPr>
          <w:rFonts w:ascii="Arial" w:cs="Arial" w:eastAsia="Arial" w:hAnsi="Arial"/>
          <w:sz w:val="21"/>
          <w:szCs w:val="21"/>
        </w:rPr>
        <w:t xml:space="preserve">The original v1.0 target of 100K DAU by Year 2 aligns with the bull case. The base case suggests ~40K DAU is a more conservative planning target. The bear case represents a downside scenario where product-market fit takes longer to achieve or user acquisition costs are higher than expected. GTM strategy should plan for the base case and celebrate if the bull materializes.</w:t>
      </w:r>
    </w:p>
    <w:p>
      <w:r>
        <w:br w:type="page"/>
      </w:r>
    </w:p>
    <w:p>
      <w:pPr>
        <w:pStyle w:val="Heading1"/>
        <w:spacing w:before="360" w:after="200"/>
      </w:pPr>
      <w:r>
        <w:rPr>
          <w:rFonts w:ascii="Arial" w:cs="Arial" w:eastAsia="Arial" w:hAnsi="Arial"/>
          <w:b/>
          <w:bCs/>
          <w:color w:val="1B4F72"/>
          <w:sz w:val="32"/>
          <w:szCs w:val="32"/>
        </w:rPr>
        <w:t xml:space="preserve">8. Testable MVP Requirements (Acceptance Criteria)</w:t>
      </w:r>
    </w:p>
    <w:p>
      <w:pPr>
        <w:pStyle w:val="Heading2"/>
        <w:spacing w:before="280" w:after="160"/>
      </w:pPr>
      <w:r>
        <w:rPr>
          <w:rFonts w:ascii="Arial" w:cs="Arial" w:eastAsia="Arial" w:hAnsi="Arial"/>
          <w:b/>
          <w:bCs/>
          <w:color w:val="2E86C1"/>
          <w:sz w:val="26"/>
          <w:szCs w:val="26"/>
        </w:rPr>
        <w:t xml:space="preserve">8.1 Preferences Questionnaire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380"/>
        <w:gridCol w:w="2600"/>
        <w:gridCol w:w="2600"/>
      </w:tblGrid>
      <w:tr>
        <w:tc>
          <w:tcPr>
            <w:tcW w:type="dxa" w:w="7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ID</w:t>
            </w:r>
          </w:p>
        </w:tc>
        <w:tc>
          <w:tcPr>
            <w:tcW w:type="dxa" w:w="33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Requirement</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Acceptance Criteria</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Test Method</w:t>
            </w:r>
          </w:p>
        </w:tc>
      </w:tr>
      <w:tr>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PQ-1</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User completes onboarding questionnaire in &lt; 4 minutes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95th percentile completion time ≤ 4 min; 90%+ completion rate for users who start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Analytics tracking on beta cohort</w:t>
            </w:r>
          </w:p>
        </w:tc>
      </w:tr>
      <w:tr>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PQ-2</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Questionnaire produces a valid weight vector for scoring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All 6 dimension weights generated; sum = 1.0; no NaN values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Unit test on all valid input combinations</w:t>
            </w:r>
          </w:p>
        </w:tc>
      </w:tr>
      <w:tr>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PQ-3</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User can edit preferences and scores update instantly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Score recalculation completes &lt; 2 seconds after weight change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Automated E2E test</w:t>
            </w:r>
          </w:p>
        </w:tc>
      </w:tr>
      <w:tr>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PQ-4</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Questionnaire adapts based on household type (single, couple, family)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Different question paths triggered for 3 household types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Manual QA walkthrough</w:t>
            </w:r>
          </w:p>
        </w:tc>
      </w:tr>
    </w:tbl>
    <w:p>
      <w:pPr>
        <w:spacing w:after="80"/>
      </w:pPr>
    </w:p>
    <w:p>
      <w:pPr>
        <w:pStyle w:val="Heading2"/>
        <w:spacing w:before="280" w:after="160"/>
      </w:pPr>
      <w:r>
        <w:rPr>
          <w:rFonts w:ascii="Arial" w:cs="Arial" w:eastAsia="Arial" w:hAnsi="Arial"/>
          <w:b/>
          <w:bCs/>
          <w:color w:val="2E86C1"/>
          <w:sz w:val="26"/>
          <w:szCs w:val="26"/>
        </w:rPr>
        <w:t xml:space="preserve">8.2 Listing Import &amp; Organizer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380"/>
        <w:gridCol w:w="2600"/>
        <w:gridCol w:w="2600"/>
      </w:tblGrid>
      <w:tr>
        <w:tc>
          <w:tcPr>
            <w:tcW w:type="dxa" w:w="7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ID</w:t>
            </w:r>
          </w:p>
        </w:tc>
        <w:tc>
          <w:tcPr>
            <w:tcW w:type="dxa" w:w="33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Requirement</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Acceptance Criteria</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Test Method</w:t>
            </w:r>
          </w:p>
        </w:tc>
      </w:tr>
      <w:tr>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LO-1</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User can add a property by pasting Zillow, Redfin, or Realtor.com URL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URL parsed correctly for 95%+ of active listings; property data populated within 5 seconds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Automated test against 200 random live URLs</w:t>
            </w:r>
          </w:p>
        </w:tc>
      </w:tr>
      <w:tr>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LO-2</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User can add a property by typing an address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Geocoded to correct APN for 90%+ of CA addresses; ambiguous matches prompt user selection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Batch test against 500 known addresses</w:t>
            </w:r>
          </w:p>
        </w:tc>
      </w:tr>
      <w:tr>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LO-3</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Organizer displays all added properties as cards with score, key stats, and status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Card renders within 1 second; all fields populated or gracefully marked as unavailable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Visual regression test</w:t>
            </w:r>
          </w:p>
        </w:tc>
      </w:tr>
      <w:tr>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LO-4</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User can upload photos during/after tour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Photos upload (up to 50 per property); work offline and sync on reconnect; tagged by property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Manual test on airplane mode + reconnect</w:t>
            </w:r>
          </w:p>
        </w:tc>
      </w:tr>
      <w:tr>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LO-5</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User can rate a property on 5 structured dimensions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Ratings saved correctly; reflected in score recalculation within 2 seconds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E2E automated test</w:t>
            </w:r>
          </w:p>
        </w:tc>
      </w:tr>
    </w:tbl>
    <w:p>
      <w:pPr>
        <w:spacing w:after="80"/>
      </w:pPr>
    </w:p>
    <w:p>
      <w:pPr>
        <w:pStyle w:val="Heading2"/>
        <w:spacing w:before="280" w:after="160"/>
      </w:pPr>
      <w:r>
        <w:rPr>
          <w:rFonts w:ascii="Arial" w:cs="Arial" w:eastAsia="Arial" w:hAnsi="Arial"/>
          <w:b/>
          <w:bCs/>
          <w:color w:val="2E86C1"/>
          <w:sz w:val="26"/>
          <w:szCs w:val="26"/>
        </w:rPr>
        <w:t xml:space="preserve">8.3 Listing Sleuth v0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380"/>
        <w:gridCol w:w="2600"/>
        <w:gridCol w:w="2600"/>
      </w:tblGrid>
      <w:tr>
        <w:tc>
          <w:tcPr>
            <w:tcW w:type="dxa" w:w="7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ID</w:t>
            </w:r>
          </w:p>
        </w:tc>
        <w:tc>
          <w:tcPr>
            <w:tcW w:type="dxa" w:w="33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Requirement</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Acceptance Criteria</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Test Method</w:t>
            </w:r>
          </w:p>
        </w:tc>
      </w:tr>
      <w:tr>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LS-1</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Flood zone determination for any CA address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Correct FEMA zone classification for 98%+ of addresses; Grade A reliability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Validated against 100 known flood zone properties</w:t>
            </w:r>
          </w:p>
        </w:tc>
      </w:tr>
      <w:tr>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LS-2</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Fire hazard zone determination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Correct CAL FIRE FHSZ classification for 98%+ of addresses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Validated against CAL FIRE map</w:t>
            </w:r>
          </w:p>
        </w:tc>
      </w:tr>
      <w:tr>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LS-3</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Toxic site proximity check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All EPA Superfund + DTSC sites within 1 mile identified; false positive rate &lt; 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Spot check 50 properties near known sites</w:t>
            </w:r>
          </w:p>
        </w:tc>
      </w:tr>
      <w:tr>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LS-4</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Permit history retrieval (Tier 1 counties)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Permits retrieved for 85%+ of properties in SF, 75%+ in other Tier 1 counties; open/expired permits flagged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Manual validation against 30 properties per county</w:t>
            </w:r>
          </w:p>
        </w:tc>
      </w:tr>
      <w:tr>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LS-5</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Noise proximity analysis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Airport flight paths, major highways (&gt;4 lanes), and rail lines within 0.5 miles identified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Spot check 50 properties with known noise exposure</w:t>
            </w:r>
          </w:p>
        </w:tc>
      </w:tr>
      <w:tr>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LS-6</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Results display with source, date, and reliability grade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Every finding shows source name, data date, and A/B/C grade; "Dig Deeper" link resolves to correct source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QA review of 100 generated reports</w:t>
            </w:r>
          </w:p>
        </w:tc>
      </w:tr>
      <w:tr>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LS-7</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Latency: full Listing Sleuth v0 report generated in &lt; 15 seconds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P95 latency ≤ 15 seconds for cached data; ≤ 30 seconds for first-time evaluation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Load test with 50 concurrent evaluations</w:t>
            </w:r>
          </w:p>
        </w:tc>
      </w:tr>
      <w:tr>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LS-8</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Graceful degradation when data source is unavailable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Missing data shows explanation message (not blank); score recalculated without missing dimension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Simulated source outage test</w:t>
            </w:r>
          </w:p>
        </w:tc>
      </w:tr>
    </w:tbl>
    <w:p>
      <w:pPr>
        <w:spacing w:after="80"/>
      </w:pPr>
    </w:p>
    <w:p>
      <w:pPr>
        <w:pStyle w:val="Heading2"/>
        <w:spacing w:before="280" w:after="160"/>
      </w:pPr>
      <w:r>
        <w:rPr>
          <w:rFonts w:ascii="Arial" w:cs="Arial" w:eastAsia="Arial" w:hAnsi="Arial"/>
          <w:b/>
          <w:bCs/>
          <w:color w:val="2E86C1"/>
          <w:sz w:val="26"/>
          <w:szCs w:val="26"/>
        </w:rPr>
        <w:t xml:space="preserve">8.4 Score &amp;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380"/>
        <w:gridCol w:w="2600"/>
        <w:gridCol w:w="2600"/>
      </w:tblGrid>
      <w:tr>
        <w:tc>
          <w:tcPr>
            <w:tcW w:type="dxa" w:w="7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ID</w:t>
            </w:r>
          </w:p>
        </w:tc>
        <w:tc>
          <w:tcPr>
            <w:tcW w:type="dxa" w:w="33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Requirement</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Acceptance Criteria</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Test Method</w:t>
            </w:r>
          </w:p>
        </w:tc>
      </w:tr>
      <w:tr>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SC-1</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Score generated for every property with sufficient data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Score produced if ≥3 of 6 sub-scores calculable; confidence band shown; "insufficient data" message if &lt;3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Unit test across edge cases</w:t>
            </w:r>
          </w:p>
        </w:tc>
      </w:tr>
      <w:tr>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SC-2</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Pro/Con list generated with 5 items each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Each item traceable to a data source or sub-score; no fabricated facts per AI Safety Spec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Automated fact-checking pipeline + manual QA of 50 reports</w:t>
            </w:r>
          </w:p>
        </w:tc>
      </w:tr>
      <w:tr>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SC-3</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Comparison view shows 2–4 properties side-by-side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All sub-scores, key metrics, and risk counts displayed; ranking order shown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Visual regression test on comparison page</w:t>
            </w:r>
          </w:p>
        </w:tc>
      </w:tr>
      <w:tr>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SC-4</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PDF report generates with score, pros/cons, Sleuth summary, and financial overview</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PDF renders correctly; all citations included; opens in standard PDF readers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Automated PDF generation + manual review of 20 reports</w:t>
            </w:r>
          </w:p>
        </w:tc>
      </w:tr>
      <w:tr>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SC-5</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Score change explanation shown when data updates or user modifies weights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Delta attribution shown for every score change &gt;2 points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Simulated data update + weight change tests</w:t>
            </w:r>
          </w:p>
        </w:tc>
      </w:tr>
    </w:tbl>
    <w:p>
      <w:pPr>
        <w:spacing w:after="80"/>
      </w:pPr>
    </w:p>
    <w:p>
      <w:r>
        <w:br w:type="page"/>
      </w:r>
    </w:p>
    <w:p>
      <w:pPr>
        <w:pStyle w:val="Heading1"/>
        <w:spacing w:before="360" w:after="200"/>
      </w:pPr>
      <w:r>
        <w:rPr>
          <w:rFonts w:ascii="Arial" w:cs="Arial" w:eastAsia="Arial" w:hAnsi="Arial"/>
          <w:b/>
          <w:bCs/>
          <w:color w:val="1B4F72"/>
          <w:sz w:val="32"/>
          <w:szCs w:val="32"/>
        </w:rPr>
        <w:t xml:space="preserve">9. Golden Path: Canonical User Journey</w:t>
      </w:r>
    </w:p>
    <w:p>
      <w:pPr>
        <w:spacing w:after="160" w:line="276"/>
      </w:pPr>
      <w:r>
        <w:rPr>
          <w:rFonts w:ascii="Arial" w:cs="Arial" w:eastAsia="Arial" w:hAnsi="Arial"/>
          <w:sz w:val="21"/>
          <w:szCs w:val="21"/>
        </w:rPr>
        <w:t xml:space="preserve">The golden path is the primary user journey that the MVP must support flawlessly. All scope decisions, UX prioritization, and QA efforts should be organized around this sequence.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560"/>
        <w:gridCol w:w="2860"/>
        <w:gridCol w:w="2080"/>
        <w:gridCol w:w="2080"/>
      </w:tblGrid>
      <w:tr>
        <w:tc>
          <w:tcPr>
            <w:tcW w:type="dxa" w:w="7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Step</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Stage</w:t>
            </w:r>
          </w:p>
        </w:tc>
        <w:tc>
          <w:tcPr>
            <w:tcW w:type="dxa" w:w="2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User Action</w:t>
            </w:r>
          </w:p>
        </w:tc>
        <w:tc>
          <w:tcPr>
            <w:tcW w:type="dxa" w:w="20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System Output</w:t>
            </w:r>
          </w:p>
        </w:tc>
        <w:tc>
          <w:tcPr>
            <w:tcW w:type="dxa" w:w="20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Success Signal</w:t>
            </w:r>
          </w:p>
        </w:tc>
      </w:tr>
      <w:tr>
        <w:tc>
          <w:tcPr>
            <w:tcW w:type="dxa" w:w="7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Onboard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Downloads app; completes preference questionnaire (12–15 questions, &lt; 4 min)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Weight vector generated; personalized dashboard ready</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Questionnaire completion rate &gt; 90%</w:t>
            </w:r>
          </w:p>
        </w:tc>
      </w:tr>
      <w:tr>
        <w:tc>
          <w:tcPr>
            <w:tcW w:type="dxa" w:w="7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Add Listings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Pastes 2–3 listing URLs from Zillow/Redfin during active home search</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Properties auto-populated on organizer cards; basic data displayed in &lt; 5 sec</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≥2 properties added in first session</w:t>
            </w:r>
          </w:p>
        </w:tc>
      </w:tr>
      <w:tr>
        <w:tc>
          <w:tcPr>
            <w:tcW w:type="dxa" w:w="7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Evaluate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Taps "Evaluate" on first property; views Score + Listing Sleuth + Financial calc</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Score with confidence band; top 5 risks; true monthly payment; pro/con list</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User views full report for ≥1 property</w:t>
            </w:r>
          </w:p>
        </w:tc>
      </w:tr>
      <w:tr>
        <w:tc>
          <w:tcPr>
            <w:tcW w:type="dxa" w:w="7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Tour Mode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Visits open house; takes photos; writes notes; rates 5 dimensions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Photos saved (offline OK); structured ratings captured; score recalculated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User adds ratings + ≥3 photos per toured property</w:t>
            </w:r>
          </w:p>
        </w:tc>
      </w:tr>
      <w:tr>
        <w:tc>
          <w:tcPr>
            <w:tcW w:type="dxa" w:w="7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Compare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Opens comparison view with 2–4 properties side-by-side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Sub-scores, risk summaries, financials, and rankings displayed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User spends &gt;60 sec in comparison view</w:t>
            </w:r>
          </w:p>
        </w:tc>
      </w:tr>
      <w:tr>
        <w:tc>
          <w:tcPr>
            <w:tcW w:type="dxa" w:w="7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Decide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Generates PDF report for top 1–2 properties; shares with agent/partner/family</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Professional PDF with score, pros/cons, Sleuth summary, financials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PDF shared externally ≥1 time (virality metric)</w:t>
            </w:r>
          </w:p>
        </w:tc>
      </w:tr>
    </w:tbl>
    <w:p>
      <w:pPr>
        <w:spacing w:after="80"/>
      </w:pPr>
    </w:p>
    <w:p>
      <w:pPr>
        <w:pStyle w:val="Heading2"/>
        <w:spacing w:before="280" w:after="160"/>
      </w:pPr>
      <w:r>
        <w:rPr>
          <w:rFonts w:ascii="Arial" w:cs="Arial" w:eastAsia="Arial" w:hAnsi="Arial"/>
          <w:b/>
          <w:bCs/>
          <w:color w:val="2E86C1"/>
          <w:sz w:val="26"/>
          <w:szCs w:val="26"/>
        </w:rPr>
        <w:t xml:space="preserve">9.1 Critical Moments of Truth</w:t>
      </w:r>
    </w:p>
    <w:p>
      <w:pPr>
        <w:spacing w:after="160" w:line="276"/>
      </w:pPr>
      <w:r>
        <w:rPr>
          <w:rFonts w:ascii="Arial" w:cs="Arial" w:eastAsia="Arial" w:hAnsi="Arial"/>
          <w:sz w:val="21"/>
          <w:szCs w:val="21"/>
        </w:rPr>
        <w:t xml:space="preserve">These are the moments where the user decides whether to trust the product or abandon it:</w:t>
      </w:r>
    </w:p>
    <w:p>
      <w:pPr>
        <w:pStyle w:val="ListParagraph"/>
        <w:numPr>
          <w:ilvl w:val="0"/>
          <w:numId w:val="2"/>
        </w:numPr>
        <w:spacing w:after="80" w:line="276"/>
      </w:pPr>
      <w:r>
        <w:rPr>
          <w:rFonts w:ascii="Arial" w:cs="Arial" w:eastAsia="Arial" w:hAnsi="Arial"/>
          <w:b/>
          <w:bCs/>
          <w:sz w:val="21"/>
          <w:szCs w:val="21"/>
        </w:rPr>
        <w:t xml:space="preserve">First Score: </w:t>
      </w:r>
      <w:r>
        <w:rPr>
          <w:rFonts w:ascii="Arial" w:cs="Arial" w:eastAsia="Arial" w:hAnsi="Arial"/>
          <w:sz w:val="21"/>
          <w:szCs w:val="21"/>
        </w:rPr>
        <w:t xml:space="preserve">The first time a user sees their score, it must feel credible and insightful. If the score is a meaningless number with no explanation, trust is lost. The "Why this score" panel must be prominent and populated.</w:t>
      </w:r>
    </w:p>
    <w:p>
      <w:pPr>
        <w:pStyle w:val="ListParagraph"/>
        <w:numPr>
          <w:ilvl w:val="0"/>
          <w:numId w:val="2"/>
        </w:numPr>
        <w:spacing w:after="80" w:line="276"/>
      </w:pPr>
      <w:r>
        <w:rPr>
          <w:rFonts w:ascii="Arial" w:cs="Arial" w:eastAsia="Arial" w:hAnsi="Arial"/>
          <w:b/>
          <w:bCs/>
          <w:sz w:val="21"/>
          <w:szCs w:val="21"/>
        </w:rPr>
        <w:t xml:space="preserve">First Risk Finding: </w:t>
      </w:r>
      <w:r>
        <w:rPr>
          <w:rFonts w:ascii="Arial" w:cs="Arial" w:eastAsia="Arial" w:hAnsi="Arial"/>
          <w:sz w:val="21"/>
          <w:szCs w:val="21"/>
        </w:rPr>
        <w:t xml:space="preserve">The first Listing Sleuth finding must be verifiable. If the user can quickly confirm it ("yes, this property IS in a flood zone"), trust builds rapidly. If it is wrong, trust is destroyed irreparably.</w:t>
      </w:r>
    </w:p>
    <w:p>
      <w:pPr>
        <w:pStyle w:val="ListParagraph"/>
        <w:numPr>
          <w:ilvl w:val="0"/>
          <w:numId w:val="2"/>
        </w:numPr>
        <w:spacing w:after="80" w:line="276"/>
      </w:pPr>
      <w:r>
        <w:rPr>
          <w:rFonts w:ascii="Arial" w:cs="Arial" w:eastAsia="Arial" w:hAnsi="Arial"/>
          <w:b/>
          <w:bCs/>
          <w:sz w:val="21"/>
          <w:szCs w:val="21"/>
        </w:rPr>
        <w:t xml:space="preserve">First Comparison: </w:t>
      </w:r>
      <w:r>
        <w:rPr>
          <w:rFonts w:ascii="Arial" w:cs="Arial" w:eastAsia="Arial" w:hAnsi="Arial"/>
          <w:sz w:val="21"/>
          <w:szCs w:val="21"/>
        </w:rPr>
        <w:t xml:space="preserve">When comparing properties, the differences must be meaningful and non-obvious. If the comparison just restates listing data the user already knows, it adds no value. The comparison must surface insights the user did not have.</w:t>
      </w:r>
    </w:p>
    <w:p>
      <w:r>
        <w:br w:type="page"/>
      </w:r>
    </w:p>
    <w:p>
      <w:pPr>
        <w:pStyle w:val="Heading1"/>
        <w:spacing w:before="360" w:after="200"/>
      </w:pPr>
      <w:r>
        <w:rPr>
          <w:rFonts w:ascii="Arial" w:cs="Arial" w:eastAsia="Arial" w:hAnsi="Arial"/>
          <w:b/>
          <w:bCs/>
          <w:color w:val="1B4F72"/>
          <w:sz w:val="32"/>
          <w:szCs w:val="32"/>
        </w:rPr>
        <w:t xml:space="preserve">10. Instrumentation &amp; Measurement Plan</w:t>
      </w:r>
    </w:p>
    <w:p>
      <w:pPr>
        <w:pStyle w:val="Heading2"/>
        <w:spacing w:before="280" w:after="160"/>
      </w:pPr>
      <w:r>
        <w:rPr>
          <w:rFonts w:ascii="Arial" w:cs="Arial" w:eastAsia="Arial" w:hAnsi="Arial"/>
          <w:b/>
          <w:bCs/>
          <w:color w:val="2E86C1"/>
          <w:sz w:val="26"/>
          <w:szCs w:val="26"/>
        </w:rPr>
        <w:t xml:space="preserve">10.1 Event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56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Event Name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Description</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Priority</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Maps to KPI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onboarding_started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User begins preference questionnaire</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P0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Activation funnel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onboarding_completed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User finishes questionnaire; weight vector generated</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P0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Activation rate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property_added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Property added to organizer (URL, address, or MLS)</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P0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Engagement depth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evaluation_triggered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User requests full evaluation for a property</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P0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Core value delivery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score_viewed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User views score + explanation panel</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P0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Value realization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sleuth_report_viewed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User opens Listing Sleuth findings</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P0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Risk awareness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sleuth_finding_clicked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User expands a specific risk finding for details</w:t>
            </w:r>
          </w:p>
        </w:tc>
        <w:tc>
          <w:tcPr>
            <w:tcW w:type="dxa" w:w="1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P1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Engagement quality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finding_disputed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User flags a finding as incorrect</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P0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Trust / accuracy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comparison_opened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User enters comparison view with 2+ properties</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P0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Decision workflow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tour_mode_activated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User enters tour mode for a property</w:t>
            </w:r>
          </w:p>
        </w:tc>
        <w:tc>
          <w:tcPr>
            <w:tcW w:type="dxa" w:w="1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P1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Tour companion usage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photo_uploaded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User uploads a photo during/after tour</w:t>
            </w:r>
          </w:p>
        </w:tc>
        <w:tc>
          <w:tcPr>
            <w:tcW w:type="dxa" w:w="1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P1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Content creation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rating_submitted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User rates a property on structured dimensions</w:t>
            </w:r>
          </w:p>
        </w:tc>
        <w:tc>
          <w:tcPr>
            <w:tcW w:type="dxa" w:w="1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P1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Engagement depth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pdf_generated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User generates a PDF report</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P0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Value realization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pdf_shared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User shares PDF externally (email, message, AirDrop)</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P0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Virality / NPS proxy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upgrade_prompt_shown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Free user hits paywall (4th property or full Sleuth)</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P0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Conversion funnel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subscription_started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User converts to Pro or Premium</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P0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Revenue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subscription_cancelled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User cancels subscription</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P0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Churn</w:t>
            </w:r>
          </w:p>
        </w:tc>
      </w:tr>
    </w:tbl>
    <w:p>
      <w:pPr>
        <w:spacing w:after="80"/>
      </w:pPr>
    </w:p>
    <w:p>
      <w:pPr>
        <w:pStyle w:val="Heading2"/>
        <w:spacing w:before="280" w:after="160"/>
      </w:pPr>
      <w:r>
        <w:rPr>
          <w:rFonts w:ascii="Arial" w:cs="Arial" w:eastAsia="Arial" w:hAnsi="Arial"/>
          <w:b/>
          <w:bCs/>
          <w:color w:val="2E86C1"/>
          <w:sz w:val="26"/>
          <w:szCs w:val="26"/>
        </w:rPr>
        <w:t xml:space="preserve">10.2 Trust Metrics (Unique to HomeScore)</w:t>
      </w:r>
    </w:p>
    <w:p>
      <w:pPr>
        <w:spacing w:after="160" w:line="276"/>
      </w:pPr>
      <w:r>
        <w:rPr>
          <w:rFonts w:ascii="Arial" w:cs="Arial" w:eastAsia="Arial" w:hAnsi="Arial"/>
          <w:sz w:val="21"/>
          <w:szCs w:val="21"/>
        </w:rPr>
        <w:t xml:space="preserve">Standard SaaS metrics do not fully capture the trust dynamics of a decision-support product. We track these additional trust-specific metrics:</w:t>
      </w:r>
    </w:p>
    <w:p>
      <w:pPr>
        <w:pStyle w:val="ListParagraph"/>
        <w:numPr>
          <w:ilvl w:val="0"/>
          <w:numId w:val="2"/>
        </w:numPr>
        <w:spacing w:after="80" w:line="276"/>
      </w:pPr>
      <w:r>
        <w:rPr>
          <w:rFonts w:ascii="Arial" w:cs="Arial" w:eastAsia="Arial" w:hAnsi="Arial"/>
          <w:b/>
          <w:bCs/>
          <w:sz w:val="21"/>
          <w:szCs w:val="21"/>
        </w:rPr>
        <w:t xml:space="preserve">Finding Dispute Rate: </w:t>
      </w:r>
      <w:r>
        <w:rPr>
          <w:rFonts w:ascii="Arial" w:cs="Arial" w:eastAsia="Arial" w:hAnsi="Arial"/>
          <w:sz w:val="21"/>
          <w:szCs w:val="21"/>
        </w:rPr>
        <w:t xml:space="preserve">Percentage of Listing Sleuth findings that users flag as incorrect. Target: &lt; 5% dispute rate. Threshold for investigation: &gt; 10% for any single module.</w:t>
      </w:r>
    </w:p>
    <w:p>
      <w:pPr>
        <w:pStyle w:val="ListParagraph"/>
        <w:numPr>
          <w:ilvl w:val="0"/>
          <w:numId w:val="2"/>
        </w:numPr>
        <w:spacing w:after="80" w:line="276"/>
      </w:pPr>
      <w:r>
        <w:rPr>
          <w:rFonts w:ascii="Arial" w:cs="Arial" w:eastAsia="Arial" w:hAnsi="Arial"/>
          <w:b/>
          <w:bCs/>
          <w:sz w:val="21"/>
          <w:szCs w:val="21"/>
        </w:rPr>
        <w:t xml:space="preserve">Confidence Shown Rate: </w:t>
      </w:r>
      <w:r>
        <w:rPr>
          <w:rFonts w:ascii="Arial" w:cs="Arial" w:eastAsia="Arial" w:hAnsi="Arial"/>
          <w:sz w:val="21"/>
          <w:szCs w:val="21"/>
        </w:rPr>
        <w:t xml:space="preserve">Percentage of scores where confidence band is "high" (3 or fewer excluded dimensions). Target: &gt; 70% of evaluations at high confidence.</w:t>
      </w:r>
    </w:p>
    <w:p>
      <w:pPr>
        <w:pStyle w:val="ListParagraph"/>
        <w:numPr>
          <w:ilvl w:val="0"/>
          <w:numId w:val="2"/>
        </w:numPr>
        <w:spacing w:after="80" w:line="276"/>
      </w:pPr>
      <w:r>
        <w:rPr>
          <w:rFonts w:ascii="Arial" w:cs="Arial" w:eastAsia="Arial" w:hAnsi="Arial"/>
          <w:b/>
          <w:bCs/>
          <w:sz w:val="21"/>
          <w:szCs w:val="21"/>
        </w:rPr>
        <w:t xml:space="preserve">Report Share Rate: </w:t>
      </w:r>
      <w:r>
        <w:rPr>
          <w:rFonts w:ascii="Arial" w:cs="Arial" w:eastAsia="Arial" w:hAnsi="Arial"/>
          <w:sz w:val="21"/>
          <w:szCs w:val="21"/>
        </w:rPr>
        <w:t xml:space="preserve">Percentage of evaluated properties for which a PDF is generated and shared externally. This is the strongest signal that the user trusts the output enough to stake their reputation on it. Target: &gt; 15% of Pro evaluations shared.</w:t>
      </w:r>
    </w:p>
    <w:p>
      <w:pPr>
        <w:pStyle w:val="ListParagraph"/>
        <w:numPr>
          <w:ilvl w:val="0"/>
          <w:numId w:val="2"/>
        </w:numPr>
        <w:spacing w:after="80" w:line="276"/>
      </w:pPr>
      <w:r>
        <w:rPr>
          <w:rFonts w:ascii="Arial" w:cs="Arial" w:eastAsia="Arial" w:hAnsi="Arial"/>
          <w:b/>
          <w:bCs/>
          <w:sz w:val="21"/>
          <w:szCs w:val="21"/>
        </w:rPr>
        <w:t xml:space="preserve">Return-to-Score Rate: </w:t>
      </w:r>
      <w:r>
        <w:rPr>
          <w:rFonts w:ascii="Arial" w:cs="Arial" w:eastAsia="Arial" w:hAnsi="Arial"/>
          <w:sz w:val="21"/>
          <w:szCs w:val="21"/>
        </w:rPr>
        <w:t xml:space="preserve">Percentage of users who check the score for a property more than once (indicating they are using it as a decision reference, not just a novelty). Target: &gt; 40% of properties viewed 2+ times.</w:t>
      </w:r>
    </w:p>
    <w:p>
      <w:pPr>
        <w:pStyle w:val="Heading2"/>
        <w:spacing w:before="280" w:after="160"/>
      </w:pPr>
      <w:r>
        <w:rPr>
          <w:rFonts w:ascii="Arial" w:cs="Arial" w:eastAsia="Arial" w:hAnsi="Arial"/>
          <w:b/>
          <w:bCs/>
          <w:color w:val="2E86C1"/>
          <w:sz w:val="26"/>
          <w:szCs w:val="26"/>
        </w:rPr>
        <w:t xml:space="preserve">10.3 Dashboard Structure</w:t>
      </w:r>
    </w:p>
    <w:p>
      <w:pPr>
        <w:spacing w:after="160" w:line="276"/>
      </w:pPr>
      <w:r>
        <w:rPr>
          <w:rFonts w:ascii="Arial" w:cs="Arial" w:eastAsia="Arial" w:hAnsi="Arial"/>
          <w:sz w:val="21"/>
          <w:szCs w:val="21"/>
        </w:rPr>
        <w:t xml:space="preserve">Three dashboards are required at launch:</w:t>
      </w:r>
    </w:p>
    <w:p>
      <w:pPr>
        <w:pStyle w:val="ListParagraph"/>
        <w:numPr>
          <w:ilvl w:val="0"/>
          <w:numId w:val="5"/>
        </w:numPr>
        <w:spacing w:after="80" w:line="276"/>
      </w:pPr>
      <w:r>
        <w:rPr>
          <w:rFonts w:ascii="Arial" w:cs="Arial" w:eastAsia="Arial" w:hAnsi="Arial"/>
          <w:b/>
          <w:bCs/>
          <w:sz w:val="21"/>
          <w:szCs w:val="21"/>
        </w:rPr>
        <w:t xml:space="preserve">Growth Dashboard: </w:t>
      </w:r>
      <w:r>
        <w:rPr>
          <w:rFonts w:ascii="Arial" w:cs="Arial" w:eastAsia="Arial" w:hAnsi="Arial"/>
          <w:sz w:val="21"/>
          <w:szCs w:val="21"/>
        </w:rPr>
        <w:t xml:space="preserve">Registrations, DAU, MAU, activation rate, D1/D7/D30 retention, conversion funnel (free → Pro → Premium), churn rate, referral rate.</w:t>
      </w:r>
    </w:p>
    <w:p>
      <w:pPr>
        <w:pStyle w:val="ListParagraph"/>
        <w:numPr>
          <w:ilvl w:val="0"/>
          <w:numId w:val="5"/>
        </w:numPr>
        <w:spacing w:after="80" w:line="276"/>
      </w:pPr>
      <w:r>
        <w:rPr>
          <w:rFonts w:ascii="Arial" w:cs="Arial" w:eastAsia="Arial" w:hAnsi="Arial"/>
          <w:b/>
          <w:bCs/>
          <w:sz w:val="21"/>
          <w:szCs w:val="21"/>
        </w:rPr>
        <w:t xml:space="preserve">Trust Dashboard: </w:t>
      </w:r>
      <w:r>
        <w:rPr>
          <w:rFonts w:ascii="Arial" w:cs="Arial" w:eastAsia="Arial" w:hAnsi="Arial"/>
          <w:sz w:val="21"/>
          <w:szCs w:val="21"/>
        </w:rPr>
        <w:t xml:space="preserve">Finding dispute rate (by module), confidence shown rate, report share rate, data source uptime, average reliability grade distribution, score change frequency.</w:t>
      </w:r>
    </w:p>
    <w:p>
      <w:pPr>
        <w:pStyle w:val="ListParagraph"/>
        <w:numPr>
          <w:ilvl w:val="0"/>
          <w:numId w:val="5"/>
        </w:numPr>
        <w:spacing w:after="80" w:line="276"/>
      </w:pPr>
      <w:r>
        <w:rPr>
          <w:rFonts w:ascii="Arial" w:cs="Arial" w:eastAsia="Arial" w:hAnsi="Arial"/>
          <w:b/>
          <w:bCs/>
          <w:sz w:val="21"/>
          <w:szCs w:val="21"/>
        </w:rPr>
        <w:t xml:space="preserve">Revenue Dashboard: </w:t>
      </w:r>
      <w:r>
        <w:rPr>
          <w:rFonts w:ascii="Arial" w:cs="Arial" w:eastAsia="Arial" w:hAnsi="Arial"/>
          <w:sz w:val="21"/>
          <w:szCs w:val="21"/>
        </w:rPr>
        <w:t xml:space="preserve">ARR, ARPU, LTV, CAC, LTV:CAC ratio, cost-to-serve per tier, B2B pipeline and closed revenue, subscription mix (monthly vs. annual).</w:t>
      </w:r>
    </w:p>
    <w:p>
      <w:r>
        <w:br w:type="page"/>
      </w:r>
    </w:p>
    <w:p>
      <w:pPr>
        <w:pStyle w:val="Heading1"/>
        <w:spacing w:before="360" w:after="200"/>
      </w:pPr>
      <w:r>
        <w:rPr>
          <w:rFonts w:ascii="Arial" w:cs="Arial" w:eastAsia="Arial" w:hAnsi="Arial"/>
          <w:b/>
          <w:bCs/>
          <w:color w:val="1B4F72"/>
          <w:sz w:val="32"/>
          <w:szCs w:val="32"/>
        </w:rPr>
        <w:t xml:space="preserve">11. Operational Readiness</w:t>
      </w:r>
    </w:p>
    <w:p>
      <w:pPr>
        <w:pStyle w:val="Heading2"/>
        <w:spacing w:before="280" w:after="160"/>
      </w:pPr>
      <w:r>
        <w:rPr>
          <w:rFonts w:ascii="Arial" w:cs="Arial" w:eastAsia="Arial" w:hAnsi="Arial"/>
          <w:b/>
          <w:bCs/>
          <w:color w:val="2E86C1"/>
          <w:sz w:val="26"/>
          <w:szCs w:val="26"/>
        </w:rPr>
        <w:t xml:space="preserve">11.1 Support Playbooks</w:t>
      </w:r>
    </w:p>
    <w:p>
      <w:pPr>
        <w:spacing w:after="160" w:line="276"/>
      </w:pPr>
      <w:r>
        <w:rPr>
          <w:rFonts w:ascii="Arial" w:cs="Arial" w:eastAsia="Arial" w:hAnsi="Arial"/>
          <w:sz w:val="21"/>
          <w:szCs w:val="21"/>
        </w:rPr>
        <w:t xml:space="preserve">The following playbooks must be documented and the support team trained on them before beta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1560"/>
        <w:gridCol w:w="182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Scenario</w:t>
            </w:r>
          </w:p>
        </w:tc>
        <w:tc>
          <w:tcPr>
            <w:tcW w:type="dxa" w:w="33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Response Protocol</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SLA</w:t>
            </w:r>
          </w:p>
        </w:tc>
        <w:tc>
          <w:tcPr>
            <w:tcW w:type="dxa" w:w="18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Escalation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User reports incorrect Sleuth finding</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Acknowledge within 4 hours; verify against source; if wrong, suppress finding + flag for data team; if correct, explain with source citation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 hr ack / 24 hr resolution</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Data Engineer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User disputes score accuracy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Review weight vector + sub-score inputs; provide detailed breakdown via email; adjust if calculation error found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24 hr ack / 48 hr resolution</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Product Manager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Property owner requests data removal (takedown)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Verify identity; review applicable privacy law; if valid, suppress Sleuth data for that property within 72 hours; log request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72 hr</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Legal Counsel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Data source outage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Automated alert triggers; affected modules show degradation message; engineering investigates; ETA communicated within 2 hours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 hr detection / 4 hr comms</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On-Call Engineer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User experiences payment issue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Standard billing support; refund if charged during free trial; escalate to Stripe support if platform issue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24 hr</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Billing Admin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User reports offensive or biased AI output</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Immediately review output; if biased language confirmed, suppress and retrain prompt; incident report filed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 hr ack / 24 hr fix</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AI Safety Lead</w:t>
            </w:r>
          </w:p>
        </w:tc>
      </w:tr>
    </w:tbl>
    <w:p>
      <w:pPr>
        <w:spacing w:after="80"/>
      </w:pPr>
    </w:p>
    <w:p>
      <w:pPr>
        <w:pStyle w:val="Heading2"/>
        <w:spacing w:before="280" w:after="160"/>
      </w:pPr>
      <w:r>
        <w:rPr>
          <w:rFonts w:ascii="Arial" w:cs="Arial" w:eastAsia="Arial" w:hAnsi="Arial"/>
          <w:b/>
          <w:bCs/>
          <w:color w:val="2E86C1"/>
          <w:sz w:val="26"/>
          <w:szCs w:val="26"/>
        </w:rPr>
        <w:t xml:space="preserve">11.2 Data Incident Response</w:t>
      </w:r>
    </w:p>
    <w:p>
      <w:pPr>
        <w:spacing w:after="160" w:line="276"/>
      </w:pPr>
      <w:r>
        <w:rPr>
          <w:rFonts w:ascii="Arial" w:cs="Arial" w:eastAsia="Arial" w:hAnsi="Arial"/>
          <w:sz w:val="21"/>
          <w:szCs w:val="21"/>
        </w:rPr>
        <w:t xml:space="preserve">A "data incident" is defined as any situation where HomeScore presents verifiably incorrect information to a user that could influence a purchasing decision. These are treated with the severity of a production outage:</w:t>
      </w:r>
    </w:p>
    <w:p>
      <w:pPr>
        <w:pStyle w:val="ListParagraph"/>
        <w:numPr>
          <w:ilvl w:val="0"/>
          <w:numId w:val="6"/>
        </w:numPr>
        <w:spacing w:after="80" w:line="276"/>
      </w:pPr>
      <w:r>
        <w:rPr>
          <w:rFonts w:ascii="Arial" w:cs="Arial" w:eastAsia="Arial" w:hAnsi="Arial"/>
          <w:sz w:val="21"/>
          <w:szCs w:val="21"/>
        </w:rPr>
        <w:t xml:space="preserve">Detection: via user dispute, automated accuracy checks, or internal QA.</w:t>
      </w:r>
    </w:p>
    <w:p>
      <w:pPr>
        <w:pStyle w:val="ListParagraph"/>
        <w:numPr>
          <w:ilvl w:val="0"/>
          <w:numId w:val="6"/>
        </w:numPr>
        <w:spacing w:after="80" w:line="276"/>
      </w:pPr>
      <w:r>
        <w:rPr>
          <w:rFonts w:ascii="Arial" w:cs="Arial" w:eastAsia="Arial" w:hAnsi="Arial"/>
          <w:sz w:val="21"/>
          <w:szCs w:val="21"/>
        </w:rPr>
        <w:t xml:space="preserve">Triage (within 1 hour): Confirm the error; determine scope (single property vs. systematic); determine root cause (source data error vs. ingestion bug vs. LLM hallucination).</w:t>
      </w:r>
    </w:p>
    <w:p>
      <w:pPr>
        <w:pStyle w:val="ListParagraph"/>
        <w:numPr>
          <w:ilvl w:val="0"/>
          <w:numId w:val="6"/>
        </w:numPr>
        <w:spacing w:after="80" w:line="276"/>
      </w:pPr>
      <w:r>
        <w:rPr>
          <w:rFonts w:ascii="Arial" w:cs="Arial" w:eastAsia="Arial" w:hAnsi="Arial"/>
          <w:sz w:val="21"/>
          <w:szCs w:val="21"/>
        </w:rPr>
        <w:t xml:space="preserve">Containment (within 4 hours): Suppress the incorrect finding for affected properties. If systematic, disable the affected Sleuth module and show degradation message.</w:t>
      </w:r>
    </w:p>
    <w:p>
      <w:pPr>
        <w:pStyle w:val="ListParagraph"/>
        <w:numPr>
          <w:ilvl w:val="0"/>
          <w:numId w:val="6"/>
        </w:numPr>
        <w:spacing w:after="80" w:line="276"/>
      </w:pPr>
      <w:r>
        <w:rPr>
          <w:rFonts w:ascii="Arial" w:cs="Arial" w:eastAsia="Arial" w:hAnsi="Arial"/>
          <w:sz w:val="21"/>
          <w:szCs w:val="21"/>
        </w:rPr>
        <w:t xml:space="preserve">Fix (within 48 hours): Correct the data pipeline or LLM prompt; validate fix against test set; re-enable module.</w:t>
      </w:r>
    </w:p>
    <w:p>
      <w:pPr>
        <w:pStyle w:val="ListParagraph"/>
        <w:numPr>
          <w:ilvl w:val="0"/>
          <w:numId w:val="6"/>
        </w:numPr>
        <w:spacing w:after="80" w:line="276"/>
      </w:pPr>
      <w:r>
        <w:rPr>
          <w:rFonts w:ascii="Arial" w:cs="Arial" w:eastAsia="Arial" w:hAnsi="Arial"/>
          <w:sz w:val="21"/>
          <w:szCs w:val="21"/>
        </w:rPr>
        <w:t xml:space="preserve">Post-Mortem (within 1 week): Document root cause, user impact, detection method, and prevention measures. Share with full team.</w:t>
      </w:r>
    </w:p>
    <w:p>
      <w:pPr>
        <w:pStyle w:val="Heading2"/>
        <w:spacing w:before="280" w:after="160"/>
      </w:pPr>
      <w:r>
        <w:rPr>
          <w:rFonts w:ascii="Arial" w:cs="Arial" w:eastAsia="Arial" w:hAnsi="Arial"/>
          <w:b/>
          <w:bCs/>
          <w:color w:val="2E86C1"/>
          <w:sz w:val="26"/>
          <w:szCs w:val="26"/>
        </w:rPr>
        <w:t xml:space="preserve">11.3 Legal Disclaimers (Required at Launch)</w:t>
      </w:r>
    </w:p>
    <w:p>
      <w:pPr>
        <w:pStyle w:val="ListParagraph"/>
        <w:numPr>
          <w:ilvl w:val="0"/>
          <w:numId w:val="2"/>
        </w:numPr>
        <w:spacing w:after="80" w:line="276"/>
      </w:pPr>
      <w:r>
        <w:rPr>
          <w:rFonts w:ascii="Arial" w:cs="Arial" w:eastAsia="Arial" w:hAnsi="Arial"/>
          <w:b/>
          <w:bCs/>
          <w:sz w:val="21"/>
          <w:szCs w:val="21"/>
        </w:rPr>
        <w:t xml:space="preserve">App Footer: </w:t>
      </w:r>
      <w:r>
        <w:rPr>
          <w:rFonts w:ascii="Arial" w:cs="Arial" w:eastAsia="Arial" w:hAnsi="Arial"/>
          <w:sz w:val="21"/>
          <w:szCs w:val="21"/>
        </w:rPr>
        <w:t xml:space="preserve">"HomeScore AI provides informational data to assist your research. It is not a substitute for professional real estate, legal, financial, or inspection advice. Always consult qualified professionals before making purchasing decisions."</w:t>
      </w:r>
    </w:p>
    <w:p>
      <w:pPr>
        <w:pStyle w:val="ListParagraph"/>
        <w:numPr>
          <w:ilvl w:val="0"/>
          <w:numId w:val="2"/>
        </w:numPr>
        <w:spacing w:after="80" w:line="276"/>
      </w:pPr>
      <w:r>
        <w:rPr>
          <w:rFonts w:ascii="Arial" w:cs="Arial" w:eastAsia="Arial" w:hAnsi="Arial"/>
          <w:b/>
          <w:bCs/>
          <w:sz w:val="21"/>
          <w:szCs w:val="21"/>
        </w:rPr>
        <w:t xml:space="preserve">Every Sleuth Report: </w:t>
      </w:r>
      <w:r>
        <w:rPr>
          <w:rFonts w:ascii="Arial" w:cs="Arial" w:eastAsia="Arial" w:hAnsi="Arial"/>
          <w:sz w:val="21"/>
          <w:szCs w:val="21"/>
        </w:rPr>
        <w:t xml:space="preserve">"This report is based on publicly available data and AI analysis. Data may be incomplete or outdated. Verify all findings independently before relying on them."</w:t>
      </w:r>
    </w:p>
    <w:p>
      <w:pPr>
        <w:pStyle w:val="ListParagraph"/>
        <w:numPr>
          <w:ilvl w:val="0"/>
          <w:numId w:val="2"/>
        </w:numPr>
        <w:spacing w:after="80" w:line="276"/>
      </w:pPr>
      <w:r>
        <w:rPr>
          <w:rFonts w:ascii="Arial" w:cs="Arial" w:eastAsia="Arial" w:hAnsi="Arial"/>
          <w:b/>
          <w:bCs/>
          <w:sz w:val="21"/>
          <w:szCs w:val="21"/>
        </w:rPr>
        <w:t xml:space="preserve">Score Display: </w:t>
      </w:r>
      <w:r>
        <w:rPr>
          <w:rFonts w:ascii="Arial" w:cs="Arial" w:eastAsia="Arial" w:hAnsi="Arial"/>
          <w:sz w:val="21"/>
          <w:szCs w:val="21"/>
        </w:rPr>
        <w:t xml:space="preserve">"This score reflects your stated preferences against available property data. It is not a property appraisal, investment recommendation, or guarantee of suitability."</w:t>
      </w:r>
    </w:p>
    <w:p>
      <w:pPr>
        <w:pStyle w:val="ListParagraph"/>
        <w:numPr>
          <w:ilvl w:val="0"/>
          <w:numId w:val="2"/>
        </w:numPr>
        <w:spacing w:after="80" w:line="276"/>
      </w:pPr>
      <w:r>
        <w:rPr>
          <w:rFonts w:ascii="Arial" w:cs="Arial" w:eastAsia="Arial" w:hAnsi="Arial"/>
          <w:b/>
          <w:bCs/>
          <w:sz w:val="21"/>
          <w:szCs w:val="21"/>
        </w:rPr>
        <w:t xml:space="preserve">Terms of Service: </w:t>
      </w:r>
      <w:r>
        <w:rPr>
          <w:rFonts w:ascii="Arial" w:cs="Arial" w:eastAsia="Arial" w:hAnsi="Arial"/>
          <w:sz w:val="21"/>
          <w:szCs w:val="21"/>
        </w:rPr>
        <w:t xml:space="preserve">Explicit limitation of liability for decisions made based on HomeScore data. Prohibition on using scores in property marketing or listing materials.</w:t>
      </w:r>
    </w:p>
    <w:p>
      <w:r>
        <w:br w:type="page"/>
      </w:r>
    </w:p>
    <w:p>
      <w:pPr>
        <w:pStyle w:val="Heading1"/>
        <w:spacing w:before="360" w:after="200"/>
      </w:pPr>
      <w:r>
        <w:rPr>
          <w:rFonts w:ascii="Arial" w:cs="Arial" w:eastAsia="Arial" w:hAnsi="Arial"/>
          <w:b/>
          <w:bCs/>
          <w:color w:val="1B4F72"/>
          <w:sz w:val="32"/>
          <w:szCs w:val="32"/>
        </w:rPr>
        <w:t xml:space="preserve">12. Revised Success Metrics (Base Case)</w:t>
      </w:r>
    </w:p>
    <w:p>
      <w:pPr>
        <w:spacing w:after="160" w:line="276"/>
      </w:pPr>
      <w:r>
        <w:rPr>
          <w:rFonts w:ascii="Arial" w:cs="Arial" w:eastAsia="Arial" w:hAnsi="Arial"/>
          <w:sz w:val="21"/>
          <w:szCs w:val="21"/>
        </w:rPr>
        <w:t xml:space="preserve">The following targets are revised from v1.0 to reflect the base case from the sensitivity analysis in Section 7.4, with the original v1.0 targets noted for reference.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2340"/>
        <w:gridCol w:w="2080"/>
        <w:gridCol w:w="2080"/>
      </w:tblGrid>
      <w:tr>
        <w:tc>
          <w:tcPr>
            <w:tcW w:type="dxa" w:w="2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Beta (Mo 6)</w:t>
            </w:r>
          </w:p>
        </w:tc>
        <w:tc>
          <w:tcPr>
            <w:tcW w:type="dxa" w:w="20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Year 1</w:t>
            </w:r>
          </w:p>
        </w:tc>
        <w:tc>
          <w:tcPr>
            <w:tcW w:type="dxa" w:w="20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Year 2</w:t>
            </w:r>
          </w:p>
        </w:tc>
      </w:tr>
      <w:tr>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Daily Active Users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500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8,000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40,000 (v1.0: 100K)</w:t>
            </w:r>
          </w:p>
        </w:tc>
      </w:tr>
      <w:tr>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Monthly Active Users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1,000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30,000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140,000</w:t>
            </w:r>
          </w:p>
        </w:tc>
      </w:tr>
      <w:tr>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Registered Users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1,000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80,000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400,000</w:t>
            </w:r>
          </w:p>
        </w:tc>
      </w:tr>
      <w:tr>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Free → Pro Conversion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N/A</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8%</w:t>
            </w:r>
          </w:p>
        </w:tc>
      </w:tr>
      <w:tr>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D7 Retention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35%</w:t>
            </w:r>
          </w:p>
        </w:tc>
      </w:tr>
      <w:tr>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D30 Retention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25%</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22%</w:t>
            </w:r>
          </w:p>
        </w:tc>
      </w:tr>
      <w:tr>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50+</w:t>
            </w:r>
          </w:p>
        </w:tc>
      </w:tr>
      <w:tr>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Listing Sleuth Accuracy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80%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88%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93%</w:t>
            </w:r>
          </w:p>
        </w:tc>
      </w:tr>
      <w:tr>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Finding Dispute 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&lt; 10%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&lt; 7%</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&lt; 5%</w:t>
            </w:r>
          </w:p>
        </w:tc>
      </w:tr>
      <w:tr>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Report Share 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15%</w:t>
            </w:r>
          </w:p>
        </w:tc>
      </w:tr>
      <w:tr>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ARR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N/A</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$600K</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$5.1M (v1.0: $5M)</w:t>
            </w:r>
          </w:p>
        </w:tc>
      </w:tr>
      <w:tr>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LTV:CAC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N/A</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3.0x</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5.5x</w:t>
            </w:r>
          </w:p>
        </w:tc>
      </w:tr>
    </w:tbl>
    <w:p>
      <w:pPr>
        <w:spacing w:after="80"/>
      </w:pPr>
    </w:p>
    <w:p>
      <w:pPr>
        <w:spacing w:after="160" w:line="276"/>
      </w:pPr>
      <w:r>
        <w:rPr>
          <w:rFonts w:ascii="Arial" w:cs="Arial" w:eastAsia="Arial" w:hAnsi="Arial"/>
          <w:i/>
          <w:iCs/>
          <w:sz w:val="21"/>
          <w:szCs w:val="21"/>
        </w:rPr>
        <w:t xml:space="preserve">The 100K DAU target from v1.0 is reclassified as a "stretch goal" aligned with the bull case. The base case target of 40K DAU by Year 2 is still a strong outcome that supports the revenue and partnership targets. Planning, hiring, and infrastructure should be sized for the base case with the ability to scale up if growth exceeds expectations.</w:t>
      </w:r>
    </w:p>
    <w:p>
      <w:pPr>
        <w:spacing w:after="80"/>
      </w:pPr>
    </w:p>
    <w:p>
      <w:pPr>
        <w:spacing w:after="80"/>
      </w:pPr>
    </w:p>
    <w:p>
      <w:pPr>
        <w:pBdr>
          <w:top w:val="single" w:color="1B4F72" w:sz="2" w:space="12"/>
        </w:pBdr>
        <w:spacing w:before="400"/>
        <w:jc w:val="center"/>
      </w:pPr>
      <w:r>
        <w:rPr>
          <w:rFonts w:ascii="Arial" w:cs="Arial" w:eastAsia="Arial" w:hAnsi="Arial"/>
          <w:i/>
          <w:iCs/>
          <w:color w:val="999999"/>
          <w:sz w:val="20"/>
          <w:szCs w:val="20"/>
        </w:rPr>
        <w:t xml:space="preserve">End of v1.1 Addendum</w:t>
      </w:r>
    </w:p>
    <w:p>
      <w:pPr>
        <w:spacing w:before="100"/>
        <w:jc w:val="center"/>
      </w:pPr>
      <w:r>
        <w:rPr>
          <w:rFonts w:ascii="Arial" w:cs="Arial" w:eastAsia="Arial" w:hAnsi="Arial"/>
          <w:i/>
          <w:iCs/>
          <w:color w:val="AAAAAA"/>
          <w:sz w:val="18"/>
          <w:szCs w:val="18"/>
        </w:rPr>
        <w:t xml:space="preserve">Read alongside HomeScore AI PRD v1.0 for complete context.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HomeScore AI  |  PRD v1.1 Addendum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86C1"/>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E844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2026-02-20T18:27:18.173Z</dcterms:created>
  <dcterms:modified xsi:type="dcterms:W3CDTF">2026-02-20T18:27:18.174Z</dcterms:modified>
</cp:coreProperties>
</file>

<file path=docProps/custom.xml><?xml version="1.0" encoding="utf-8"?>
<Properties xmlns="http://schemas.openxmlformats.org/officeDocument/2006/custom-properties" xmlns:vt="http://schemas.openxmlformats.org/officeDocument/2006/docPropsVTypes"/>
</file>