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hint="eastAsia"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业务数据日结查询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21"/>
              </w:rPr>
            </w:pPr>
            <w:r>
              <w:rPr>
                <w:rFonts w:hint="eastAsia" w:ascii="微软雅黑" w:hAnsi="微软雅黑"/>
                <w:kern w:val="0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pStyle w:val="20"/>
              <w:adjustRightInd w:val="0"/>
              <w:snapToGrid w:val="0"/>
              <w:ind w:left="33"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93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  <w:tc>
          <w:tcPr>
            <w:tcW w:w="2857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kern w:val="0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spacing w:line="480" w:lineRule="exact"/>
        <w:ind w:firstLine="480" w:firstLineChars="200"/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>背景和目标</w:t>
      </w:r>
    </w:p>
    <w:p>
      <w:pPr>
        <w:spacing w:line="480" w:lineRule="exact"/>
        <w:ind w:firstLine="360"/>
        <w:rPr>
          <w:rFonts w:hint="eastAsia" w:ascii="微软雅黑" w:hAnsi="微软雅黑" w:cs="微软雅黑"/>
          <w:color w:val="111F2C"/>
          <w:szCs w:val="18"/>
          <w:highlight w:val="none"/>
          <w:shd w:val="clear" w:color="auto" w:fill="FFFFFF"/>
        </w:rPr>
      </w:pPr>
      <w:r>
        <w:rPr>
          <w:rFonts w:hint="eastAsia" w:ascii="微软雅黑" w:hAnsi="微软雅黑" w:cs="微软雅黑"/>
          <w:color w:val="auto"/>
          <w:szCs w:val="18"/>
          <w:highlight w:val="none"/>
          <w:shd w:val="clear" w:color="auto" w:fill="FFFFFF"/>
          <w:lang w:eastAsia="zh-CN"/>
        </w:rPr>
        <w:t>根据财政部印发的《</w:t>
      </w:r>
      <w:r>
        <w:rPr>
          <w:rFonts w:hint="eastAsia" w:ascii="微软雅黑" w:hAnsi="微软雅黑" w:cs="微软雅黑"/>
          <w:color w:val="auto"/>
          <w:szCs w:val="18"/>
          <w:highlight w:val="none"/>
          <w:shd w:val="clear" w:color="auto" w:fill="FFFFFF"/>
        </w:rPr>
        <w:t>企业会计信息化工作规范</w:t>
      </w:r>
      <w:r>
        <w:rPr>
          <w:rFonts w:hint="eastAsia" w:ascii="微软雅黑" w:hAnsi="微软雅黑" w:cs="微软雅黑"/>
          <w:color w:val="auto"/>
          <w:szCs w:val="18"/>
          <w:highlight w:val="none"/>
          <w:shd w:val="clear" w:color="auto" w:fill="FFFFFF"/>
          <w:lang w:eastAsia="zh-CN"/>
        </w:rPr>
        <w:t>》对于电子会计资料的相关要求，业务数据日结查询可列入该范畴内，需可查询、输出并具备可回溯性。</w:t>
      </w:r>
    </w:p>
    <w:p>
      <w:pPr>
        <w:spacing w:line="480" w:lineRule="exact"/>
        <w:ind w:firstLine="360"/>
        <w:rPr>
          <w:rFonts w:hint="eastAsia" w:ascii="微软雅黑" w:hAnsi="微软雅黑" w:eastAsia="微软雅黑" w:cs="微软雅黑"/>
          <w:color w:val="111F2C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因目前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</w:rPr>
        <w:t>业财数据只能在T</w:t>
      </w:r>
      <w:r>
        <w:rPr>
          <w:rFonts w:ascii="微软雅黑" w:hAnsi="微软雅黑" w:cs="微软雅黑"/>
          <w:color w:val="111F2C"/>
          <w:szCs w:val="18"/>
          <w:shd w:val="clear" w:color="auto" w:fill="FFFFFF"/>
        </w:rPr>
        <w:t>+1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</w:rPr>
        <w:t>时流转到SAP财务系统，而未来分支机构要做到日清月结，即当日业绩的管理，</w:t>
      </w:r>
      <w:r>
        <w:rPr>
          <w:rFonts w:ascii="微软雅黑" w:hAnsi="微软雅黑" w:cs="微软雅黑"/>
          <w:color w:val="111F2C"/>
          <w:szCs w:val="18"/>
          <w:shd w:val="clear" w:color="auto" w:fill="FFFFFF"/>
        </w:rPr>
        <w:t>系统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需</w:t>
      </w:r>
      <w:r>
        <w:rPr>
          <w:rFonts w:ascii="微软雅黑" w:hAnsi="微软雅黑" w:cs="微软雅黑"/>
          <w:color w:val="111F2C"/>
          <w:szCs w:val="18"/>
          <w:shd w:val="clear" w:color="auto" w:fill="FFFFFF"/>
        </w:rPr>
        <w:t>能够实现T日对业务数据进行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</w:rPr>
        <w:t>管理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。故，申请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</w:rPr>
        <w:t>新增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业务数据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</w:rPr>
        <w:t>日结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查询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</w:rPr>
        <w:t>的需求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。</w:t>
      </w:r>
      <w:bookmarkStart w:id="0" w:name="_GoBack"/>
      <w:bookmarkEnd w:id="0"/>
    </w:p>
    <w:p>
      <w:pPr>
        <w:spacing w:line="480" w:lineRule="exact"/>
        <w:ind w:firstLine="360"/>
        <w:rPr>
          <w:rFonts w:hint="eastAsia" w:ascii="微软雅黑" w:hAnsi="微软雅黑" w:eastAsia="微软雅黑" w:cs="微软雅黑"/>
          <w:color w:val="111F2C"/>
          <w:szCs w:val="18"/>
          <w:shd w:val="clear" w:color="auto" w:fill="FFFFFF"/>
          <w:lang w:eastAsia="zh-CN"/>
        </w:rPr>
      </w:pPr>
      <w:r>
        <w:rPr>
          <w:rFonts w:ascii="微软雅黑" w:hAnsi="微软雅黑" w:cs="微软雅黑"/>
          <w:color w:val="111F2C"/>
          <w:szCs w:val="18"/>
          <w:shd w:val="clear" w:color="auto" w:fill="FFFFFF"/>
        </w:rPr>
        <w:t>业务数据日结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查询</w:t>
      </w:r>
      <w:r>
        <w:rPr>
          <w:rFonts w:ascii="微软雅黑" w:hAnsi="微软雅黑" w:cs="微软雅黑"/>
          <w:color w:val="111F2C"/>
          <w:szCs w:val="18"/>
          <w:shd w:val="clear" w:color="auto" w:fill="FFFFFF"/>
        </w:rPr>
        <w:t>主要是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查询</w:t>
      </w:r>
      <w:r>
        <w:rPr>
          <w:rFonts w:ascii="微软雅黑" w:hAnsi="微软雅黑" w:cs="微软雅黑"/>
          <w:color w:val="111F2C"/>
          <w:szCs w:val="18"/>
          <w:shd w:val="clear" w:color="auto" w:fill="FFFFFF"/>
        </w:rPr>
        <w:t>当日的承保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数据、续期</w:t>
      </w:r>
      <w:r>
        <w:rPr>
          <w:rFonts w:ascii="微软雅黑" w:hAnsi="微软雅黑" w:cs="微软雅黑"/>
          <w:color w:val="111F2C"/>
          <w:szCs w:val="18"/>
          <w:shd w:val="clear" w:color="auto" w:fill="FFFFFF"/>
        </w:rPr>
        <w:t>数据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、</w:t>
      </w:r>
      <w:r>
        <w:rPr>
          <w:rFonts w:ascii="微软雅黑" w:hAnsi="微软雅黑" w:cs="微软雅黑"/>
          <w:color w:val="111F2C"/>
          <w:szCs w:val="18"/>
          <w:shd w:val="clear" w:color="auto" w:fill="FFFFFF"/>
        </w:rPr>
        <w:t>理赔数据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、</w:t>
      </w:r>
      <w:r>
        <w:rPr>
          <w:rFonts w:ascii="微软雅黑" w:hAnsi="微软雅黑" w:cs="微软雅黑"/>
          <w:color w:val="111F2C"/>
          <w:szCs w:val="18"/>
          <w:shd w:val="clear" w:color="auto" w:fill="FFFFFF"/>
        </w:rPr>
        <w:t>保全数据</w:t>
      </w:r>
      <w:r>
        <w:rPr>
          <w:rFonts w:hint="eastAsia" w:ascii="微软雅黑" w:hAnsi="微软雅黑" w:cs="微软雅黑"/>
          <w:color w:val="111F2C"/>
          <w:szCs w:val="18"/>
          <w:shd w:val="clear" w:color="auto" w:fill="FFFFFF"/>
          <w:lang w:eastAsia="zh-CN"/>
        </w:rPr>
        <w:t>、财务收费数据。</w:t>
      </w:r>
    </w:p>
    <w:p>
      <w:pPr>
        <w:pStyle w:val="2"/>
        <w:numPr>
          <w:ilvl w:val="0"/>
          <w:numId w:val="3"/>
        </w:numPr>
        <w:spacing w:line="480" w:lineRule="exact"/>
        <w:ind w:firstLine="480" w:firstLineChars="200"/>
        <w:rPr>
          <w:rFonts w:ascii="微软雅黑" w:hAnsi="微软雅黑" w:cs="微软雅黑"/>
          <w:kern w:val="2"/>
          <w:sz w:val="24"/>
          <w:szCs w:val="24"/>
        </w:rPr>
      </w:pPr>
      <w:r>
        <w:rPr>
          <w:rFonts w:hint="eastAsia" w:ascii="微软雅黑" w:hAnsi="微软雅黑" w:cs="微软雅黑"/>
          <w:kern w:val="2"/>
          <w:sz w:val="24"/>
          <w:szCs w:val="24"/>
        </w:rPr>
        <w:t>需求内容</w:t>
      </w:r>
    </w:p>
    <w:p>
      <w:pPr>
        <w:spacing w:line="480" w:lineRule="exact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功能简述：</w:t>
      </w:r>
    </w:p>
    <w:p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包含新契约、续期、保全、理赔、财务收费的日结功能。</w:t>
      </w:r>
    </w:p>
    <w:p>
      <w:pPr>
        <w:numPr>
          <w:ilvl w:val="0"/>
          <w:numId w:val="4"/>
        </w:num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页面展示的查询条件为：保单机构、日结类型、起始时间、结束时间。</w:t>
      </w:r>
    </w:p>
    <w:p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页面需具备打印及明细导出功能。</w:t>
      </w:r>
    </w:p>
    <w:p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需先在日结功能下，选择日结分类；根据日结分类可查询对应的日结类型。</w:t>
      </w:r>
    </w:p>
    <w:p>
      <w:pPr>
        <w:spacing w:line="480" w:lineRule="exact"/>
        <w:ind w:firstLine="360"/>
        <w:rPr>
          <w:szCs w:val="18"/>
        </w:rPr>
      </w:pPr>
      <w:r>
        <w:rPr>
          <w:rFonts w:hint="eastAsia" w:ascii="微软雅黑" w:hAnsi="微软雅黑" w:cs="微软雅黑"/>
          <w:szCs w:val="18"/>
        </w:rPr>
        <w:t>（例如：在日结分类选择保全日结—保全收费日结，则可在日结类型中选择加保、贷款清偿、复效保费等业务类型）</w:t>
      </w:r>
    </w:p>
    <w:p>
      <w:pPr>
        <w:numPr>
          <w:ilvl w:val="0"/>
          <w:numId w:val="4"/>
        </w:num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页面字段的必填校验：</w:t>
      </w:r>
    </w:p>
    <w:p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保单机构、起始时间、结束时间为必填（为便于数据</w:t>
      </w:r>
      <w:r>
        <w:rPr>
          <w:rFonts w:hint="eastAsia" w:ascii="微软雅黑" w:hAnsi="微软雅黑" w:cs="微软雅黑"/>
          <w:szCs w:val="18"/>
          <w:lang w:eastAsia="zh-CN"/>
        </w:rPr>
        <w:t>查询</w:t>
      </w:r>
      <w:r>
        <w:rPr>
          <w:rFonts w:hint="eastAsia" w:ascii="微软雅黑" w:hAnsi="微软雅黑" w:cs="微软雅黑"/>
          <w:szCs w:val="18"/>
        </w:rPr>
        <w:t>，起、始时间可选择T日及以前的时间）；</w:t>
      </w:r>
    </w:p>
    <w:p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日结类型可选填。如日结类型不填，则展示该日结分类下，全部日结类型的数据明细。</w:t>
      </w:r>
    </w:p>
    <w:p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（例如：选择保全日结— 保全收费日结，且在查询时未填写日结类型，则导出的日结明细中包含保全收费日结分类下，全部的日结类型明细。）</w:t>
      </w:r>
    </w:p>
    <w:p>
      <w:pPr>
        <w:spacing w:line="480" w:lineRule="exact"/>
        <w:ind w:firstLine="0" w:firstLineChars="0"/>
      </w:pPr>
    </w:p>
    <w:p>
      <w:pPr>
        <w:numPr>
          <w:ilvl w:val="0"/>
          <w:numId w:val="4"/>
        </w:numPr>
        <w:spacing w:line="480" w:lineRule="exact"/>
        <w:ind w:firstLine="360"/>
        <w:rPr>
          <w:rFonts w:ascii="微软雅黑" w:hAnsi="微软雅黑" w:cs="微软雅黑"/>
          <w:szCs w:val="18"/>
          <w:highlight w:val="none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19050</wp:posOffset>
            </wp:positionV>
            <wp:extent cx="5269230" cy="1607185"/>
            <wp:effectExtent l="0" t="0" r="7620" b="12065"/>
            <wp:wrapTopAndBottom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cs="微软雅黑"/>
          <w:szCs w:val="18"/>
          <w:highlight w:val="none"/>
          <w:lang w:eastAsia="zh-CN"/>
        </w:rPr>
        <w:t>按照可回溯性的要求，日结查询时需相应增加“凭证号”字段，</w:t>
      </w:r>
      <w:r>
        <w:rPr>
          <w:rFonts w:hint="eastAsia" w:ascii="微软雅黑" w:hAnsi="微软雅黑" w:cs="微软雅黑"/>
          <w:szCs w:val="18"/>
          <w:highlight w:val="none"/>
          <w:lang w:val="en-US" w:eastAsia="zh-CN"/>
        </w:rPr>
        <w:t>T日查询时该字段为空，T+1日可查询到凭证号。满足业务数据与凭证号的可回溯性。</w:t>
      </w:r>
    </w:p>
    <w:p>
      <w:pPr>
        <w:numPr>
          <w:ilvl w:val="0"/>
          <w:numId w:val="4"/>
        </w:num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查询后的结果包含保单机构、保单号码（保全包含批单号码保全项目）、险种、险种类别（传统/万能）、渠道、缴费间隔（年缴/月缴/趸交）、金额、生效日期</w:t>
      </w:r>
      <w:r>
        <w:rPr>
          <w:rFonts w:hint="eastAsia" w:ascii="微软雅黑" w:hAnsi="微软雅黑" w:cs="微软雅黑"/>
          <w:szCs w:val="18"/>
          <w:lang w:eastAsia="zh-CN"/>
        </w:rPr>
        <w:t>、凭证号</w:t>
      </w:r>
      <w:r>
        <w:rPr>
          <w:rFonts w:hint="eastAsia" w:ascii="微软雅黑" w:hAnsi="微软雅黑" w:cs="微软雅黑"/>
          <w:szCs w:val="18"/>
        </w:rPr>
        <w:t>。</w:t>
      </w:r>
    </w:p>
    <w:p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（各日结分类的导出模板详见附件）</w:t>
      </w:r>
    </w:p>
    <w:p>
      <w:pPr>
        <w:numPr>
          <w:ilvl w:val="0"/>
          <w:numId w:val="4"/>
        </w:num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日结类型：</w:t>
      </w:r>
    </w:p>
    <w:p>
      <w:pPr>
        <w:numPr>
          <w:ilvl w:val="0"/>
          <w:numId w:val="5"/>
        </w:num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  <w:lang w:eastAsia="zh-CN"/>
        </w:rPr>
        <w:t>承保、续期</w:t>
      </w:r>
      <w:r>
        <w:rPr>
          <w:rFonts w:hint="eastAsia" w:ascii="微软雅黑" w:hAnsi="微软雅黑" w:cs="微软雅黑"/>
          <w:szCs w:val="18"/>
        </w:rPr>
        <w:t>：</w:t>
      </w:r>
    </w:p>
    <w:p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 xml:space="preserve">    个单、CBBC、家庭单</w:t>
      </w:r>
    </w:p>
    <w:p>
      <w:pPr>
        <w:numPr>
          <w:ilvl w:val="0"/>
          <w:numId w:val="5"/>
        </w:num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保全：保全收费、保全付费。</w:t>
      </w:r>
    </w:p>
    <w:p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保全收费时的保全项目：加保、贷款清偿、复效收费、追加保费、客户重要信息变更（年龄、性别变更）</w:t>
      </w:r>
      <w:r>
        <w:rPr>
          <w:rFonts w:hint="eastAsia" w:ascii="微软雅黑" w:hAnsi="微软雅黑" w:cs="微软雅黑"/>
          <w:szCs w:val="18"/>
        </w:rPr>
        <w:br w:type="textWrapping"/>
      </w:r>
      <w:r>
        <w:rPr>
          <w:rFonts w:hint="eastAsia" w:ascii="微软雅黑" w:hAnsi="微软雅黑" w:cs="微软雅黑"/>
          <w:szCs w:val="18"/>
        </w:rPr>
        <w:t xml:space="preserve">    保全付费时的保全项目：贷款、退保、减保、协议退保、保险人解约、养老年金领取、部分领取、客户重要信息变更（年龄、性别变更）</w:t>
      </w:r>
    </w:p>
    <w:p>
      <w:pPr>
        <w:numPr>
          <w:ilvl w:val="0"/>
          <w:numId w:val="6"/>
        </w:num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理赔：</w:t>
      </w:r>
    </w:p>
    <w:p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hint="eastAsia" w:ascii="微软雅黑" w:hAnsi="微软雅黑" w:cs="微软雅黑"/>
          <w:szCs w:val="18"/>
        </w:rPr>
        <w:t>赔付、拒赔、通融全额给付、通融部分给付、协议全额给付、协议部分给付。</w:t>
      </w:r>
    </w:p>
    <w:p>
      <w:pPr>
        <w:spacing w:line="480" w:lineRule="exact"/>
        <w:ind w:firstLine="0" w:firstLineChars="0"/>
        <w:rPr>
          <w:rFonts w:ascii="微软雅黑" w:hAnsi="微软雅黑" w:cs="微软雅黑"/>
          <w:sz w:val="24"/>
          <w:szCs w:val="24"/>
        </w:rPr>
      </w:pPr>
    </w:p>
    <w:p>
      <w:pPr>
        <w:ind w:firstLine="0" w:firstLineChars="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cs="微软雅黑"/>
          <w:sz w:val="24"/>
          <w:szCs w:val="24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1">
            <o:LockedField>false</o:LockedField>
          </o:OLEObject>
        </w:object>
      </w:r>
      <w:r>
        <w:rPr>
          <w:rFonts w:hint="eastAsia" w:ascii="微软雅黑" w:hAnsi="微软雅黑" w:cs="微软雅黑"/>
          <w:sz w:val="24"/>
          <w:szCs w:val="24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xcel.Sheet.8" ShapeID="_x0000_i1026" DrawAspect="Icon" ObjectID="_1468075726" r:id="rId13">
            <o:LockedField>false</o:LockedField>
          </o:OLEObject>
        </w:object>
      </w:r>
    </w:p>
    <w:p>
      <w:pPr>
        <w:ind w:left="0" w:leftChars="0" w:firstLine="0" w:firstLineChars="0"/>
        <w:rPr>
          <w:rFonts w:ascii="微软雅黑" w:hAnsi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368"/>
    <w:multiLevelType w:val="multilevel"/>
    <w:tmpl w:val="16D22368"/>
    <w:lvl w:ilvl="0" w:tentative="0">
      <w:start w:val="1"/>
      <w:numFmt w:val="decimal"/>
      <w:pStyle w:val="2"/>
      <w:lvlText w:val="%1"/>
      <w:lvlJc w:val="left"/>
      <w:pPr>
        <w:ind w:left="6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36BA30E"/>
    <w:multiLevelType w:val="singleLevel"/>
    <w:tmpl w:val="436BA3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9BD558"/>
    <w:multiLevelType w:val="singleLevel"/>
    <w:tmpl w:val="609BD558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610213ED"/>
    <w:multiLevelType w:val="singleLevel"/>
    <w:tmpl w:val="610213E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B"/>
    <w:rsid w:val="00013581"/>
    <w:rsid w:val="00036F7D"/>
    <w:rsid w:val="00044614"/>
    <w:rsid w:val="0005658D"/>
    <w:rsid w:val="000C2F42"/>
    <w:rsid w:val="00135442"/>
    <w:rsid w:val="00177F24"/>
    <w:rsid w:val="001A742E"/>
    <w:rsid w:val="001B3124"/>
    <w:rsid w:val="001D7E86"/>
    <w:rsid w:val="001E0FE3"/>
    <w:rsid w:val="00237436"/>
    <w:rsid w:val="00243C04"/>
    <w:rsid w:val="00247196"/>
    <w:rsid w:val="00276934"/>
    <w:rsid w:val="002D4134"/>
    <w:rsid w:val="00333F5E"/>
    <w:rsid w:val="0034452D"/>
    <w:rsid w:val="003C74B0"/>
    <w:rsid w:val="003E7D77"/>
    <w:rsid w:val="003F7A7B"/>
    <w:rsid w:val="004A0397"/>
    <w:rsid w:val="005D7358"/>
    <w:rsid w:val="005E31B0"/>
    <w:rsid w:val="006228AD"/>
    <w:rsid w:val="00627191"/>
    <w:rsid w:val="00692C35"/>
    <w:rsid w:val="00696BC3"/>
    <w:rsid w:val="007174FA"/>
    <w:rsid w:val="007A1161"/>
    <w:rsid w:val="007E3A67"/>
    <w:rsid w:val="007E74DE"/>
    <w:rsid w:val="00836B5A"/>
    <w:rsid w:val="00910A1F"/>
    <w:rsid w:val="00924F2B"/>
    <w:rsid w:val="00980D90"/>
    <w:rsid w:val="00982BE8"/>
    <w:rsid w:val="009939B6"/>
    <w:rsid w:val="00997028"/>
    <w:rsid w:val="009F22FE"/>
    <w:rsid w:val="00A15285"/>
    <w:rsid w:val="00A325CB"/>
    <w:rsid w:val="00A423F7"/>
    <w:rsid w:val="00A56262"/>
    <w:rsid w:val="00A730E7"/>
    <w:rsid w:val="00B0581E"/>
    <w:rsid w:val="00B44AAF"/>
    <w:rsid w:val="00B810D3"/>
    <w:rsid w:val="00BE0E62"/>
    <w:rsid w:val="00BF0504"/>
    <w:rsid w:val="00BF56A7"/>
    <w:rsid w:val="00C1180D"/>
    <w:rsid w:val="00C72429"/>
    <w:rsid w:val="00C91D9D"/>
    <w:rsid w:val="00CB20C2"/>
    <w:rsid w:val="00CB7512"/>
    <w:rsid w:val="00CC0847"/>
    <w:rsid w:val="00CC18D8"/>
    <w:rsid w:val="00CC3198"/>
    <w:rsid w:val="00CE5DEE"/>
    <w:rsid w:val="00D06352"/>
    <w:rsid w:val="00D279F0"/>
    <w:rsid w:val="00D54806"/>
    <w:rsid w:val="00D60546"/>
    <w:rsid w:val="00D96963"/>
    <w:rsid w:val="00DC240D"/>
    <w:rsid w:val="00E01666"/>
    <w:rsid w:val="00E83FCD"/>
    <w:rsid w:val="00EA50B6"/>
    <w:rsid w:val="00EF3FFA"/>
    <w:rsid w:val="00F00FFB"/>
    <w:rsid w:val="00F1301B"/>
    <w:rsid w:val="00F173A7"/>
    <w:rsid w:val="00F725F0"/>
    <w:rsid w:val="00FA4956"/>
    <w:rsid w:val="00FD0370"/>
    <w:rsid w:val="00FD28BC"/>
    <w:rsid w:val="07C67BE7"/>
    <w:rsid w:val="08747DCB"/>
    <w:rsid w:val="0955275F"/>
    <w:rsid w:val="0C2F3371"/>
    <w:rsid w:val="0DE03C44"/>
    <w:rsid w:val="10EF4C8F"/>
    <w:rsid w:val="123A0038"/>
    <w:rsid w:val="128F4840"/>
    <w:rsid w:val="14B346F2"/>
    <w:rsid w:val="15303887"/>
    <w:rsid w:val="161673C6"/>
    <w:rsid w:val="178C1909"/>
    <w:rsid w:val="18B271C3"/>
    <w:rsid w:val="195D12B9"/>
    <w:rsid w:val="1A170654"/>
    <w:rsid w:val="1C44221C"/>
    <w:rsid w:val="1C920EDD"/>
    <w:rsid w:val="1C9237CF"/>
    <w:rsid w:val="1F3806D3"/>
    <w:rsid w:val="1FC5361D"/>
    <w:rsid w:val="20B33208"/>
    <w:rsid w:val="20BD54EB"/>
    <w:rsid w:val="222650FC"/>
    <w:rsid w:val="24B52BF0"/>
    <w:rsid w:val="24DA463F"/>
    <w:rsid w:val="2A916AEA"/>
    <w:rsid w:val="2B9E5CB7"/>
    <w:rsid w:val="2CCB1B08"/>
    <w:rsid w:val="2CDC65A8"/>
    <w:rsid w:val="2E6445D8"/>
    <w:rsid w:val="2EC26DE4"/>
    <w:rsid w:val="2F7E240E"/>
    <w:rsid w:val="2FA95910"/>
    <w:rsid w:val="30CF4CB8"/>
    <w:rsid w:val="3132654C"/>
    <w:rsid w:val="32CD0642"/>
    <w:rsid w:val="351465F5"/>
    <w:rsid w:val="358F68D0"/>
    <w:rsid w:val="35E573AD"/>
    <w:rsid w:val="360A1EC8"/>
    <w:rsid w:val="3DC02D2D"/>
    <w:rsid w:val="3E59701F"/>
    <w:rsid w:val="3EDD5F44"/>
    <w:rsid w:val="3F902A40"/>
    <w:rsid w:val="40CB1550"/>
    <w:rsid w:val="41F42904"/>
    <w:rsid w:val="428E4F72"/>
    <w:rsid w:val="430C25F8"/>
    <w:rsid w:val="438F0D41"/>
    <w:rsid w:val="43D72DE3"/>
    <w:rsid w:val="45CC34DF"/>
    <w:rsid w:val="461A4713"/>
    <w:rsid w:val="478A7FCC"/>
    <w:rsid w:val="49F84FA8"/>
    <w:rsid w:val="4C850BC2"/>
    <w:rsid w:val="4DB20CFA"/>
    <w:rsid w:val="4EDA0161"/>
    <w:rsid w:val="4F062FAA"/>
    <w:rsid w:val="4FBC563C"/>
    <w:rsid w:val="532A079E"/>
    <w:rsid w:val="58341DDD"/>
    <w:rsid w:val="58BE1394"/>
    <w:rsid w:val="58CB0C4B"/>
    <w:rsid w:val="5A8B3E75"/>
    <w:rsid w:val="5AFB3146"/>
    <w:rsid w:val="5C560EB5"/>
    <w:rsid w:val="5C7364CD"/>
    <w:rsid w:val="5EF17F5D"/>
    <w:rsid w:val="61F20BD5"/>
    <w:rsid w:val="6200702C"/>
    <w:rsid w:val="65EF74E7"/>
    <w:rsid w:val="66EE75BD"/>
    <w:rsid w:val="67C608DC"/>
    <w:rsid w:val="69B05439"/>
    <w:rsid w:val="6BFB5A8D"/>
    <w:rsid w:val="6CC110A1"/>
    <w:rsid w:val="6CCE29A2"/>
    <w:rsid w:val="6D9C0565"/>
    <w:rsid w:val="6F896DBE"/>
    <w:rsid w:val="73191351"/>
    <w:rsid w:val="7711561E"/>
    <w:rsid w:val="78F433BF"/>
    <w:rsid w:val="79094C8D"/>
    <w:rsid w:val="7A475E56"/>
    <w:rsid w:val="7A6568BB"/>
    <w:rsid w:val="7BA43945"/>
    <w:rsid w:val="7C3C7FCE"/>
    <w:rsid w:val="7D1F6A9E"/>
    <w:rsid w:val="7E1C0B2F"/>
    <w:rsid w:val="7E6437E0"/>
    <w:rsid w:val="7F221713"/>
    <w:rsid w:val="7F8D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2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annotation subject"/>
    <w:basedOn w:val="6"/>
    <w:next w:val="6"/>
    <w:link w:val="25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16">
    <w:name w:val="标题 2 字符"/>
    <w:basedOn w:val="13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eastAsia="黑体"/>
      <w:b/>
      <w:bCs/>
      <w:szCs w:val="32"/>
    </w:rPr>
  </w:style>
  <w:style w:type="character" w:customStyle="1" w:styleId="18">
    <w:name w:val="页脚 字符"/>
    <w:basedOn w:val="13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眉 字符"/>
    <w:basedOn w:val="13"/>
    <w:link w:val="9"/>
    <w:qFormat/>
    <w:uiPriority w:val="99"/>
    <w:rPr>
      <w:rFonts w:eastAsia="微软雅黑"/>
      <w:sz w:val="18"/>
      <w:szCs w:val="18"/>
    </w:rPr>
  </w:style>
  <w:style w:type="paragraph" w:styleId="20">
    <w:name w:val="List Paragraph"/>
    <w:basedOn w:val="1"/>
    <w:link w:val="21"/>
    <w:qFormat/>
    <w:uiPriority w:val="34"/>
    <w:pPr>
      <w:ind w:firstLine="420"/>
    </w:pPr>
  </w:style>
  <w:style w:type="character" w:customStyle="1" w:styleId="21">
    <w:name w:val="列表段落 字符"/>
    <w:basedOn w:val="13"/>
    <w:link w:val="20"/>
    <w:qFormat/>
    <w:locked/>
    <w:uiPriority w:val="34"/>
    <w:rPr>
      <w:rFonts w:eastAsia="微软雅黑"/>
      <w:sz w:val="18"/>
    </w:rPr>
  </w:style>
  <w:style w:type="character" w:customStyle="1" w:styleId="22">
    <w:name w:val="批注框文本 字符"/>
    <w:basedOn w:val="13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eastAsia="微软雅黑"/>
      <w:sz w:val="18"/>
    </w:rPr>
  </w:style>
  <w:style w:type="character" w:customStyle="1" w:styleId="24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批注主题 字符"/>
    <w:basedOn w:val="23"/>
    <w:link w:val="10"/>
    <w:semiHidden/>
    <w:qFormat/>
    <w:uiPriority w:val="99"/>
    <w:rPr>
      <w:rFonts w:eastAsia="微软雅黑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emf"/><Relationship Id="rId13" Type="http://schemas.openxmlformats.org/officeDocument/2006/relationships/oleObject" Target="embeddings/oleObject2.bin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7B9486-AE0A-4428-8701-D97E669BFE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768</Characters>
  <Lines>6</Lines>
  <Paragraphs>1</Paragraphs>
  <TotalTime>22</TotalTime>
  <ScaleCrop>false</ScaleCrop>
  <LinksUpToDate>false</LinksUpToDate>
  <CharactersWithSpaces>901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2020-12-07T02:29:00Z</dcterms:created>
  <dc:creator>信美人寿相互保险社</dc:creator>
  <cp:lastModifiedBy>Administrator</cp:lastModifiedBy>
  <dcterms:modified xsi:type="dcterms:W3CDTF">2021-02-26T03:46:37Z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