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2" w:leftChars="-12"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  <w:lang w:eastAsia="zh-CN"/>
        </w:rPr>
        <w:t>健康委托账户</w:t>
      </w:r>
      <w:r>
        <w:rPr>
          <w:rFonts w:hint="eastAsia" w:ascii="微软雅黑" w:hAnsi="微软雅黑"/>
          <w:b/>
          <w:sz w:val="28"/>
        </w:rPr>
        <w:t>现金流报表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产品需求说明书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360"/>
      </w:pPr>
    </w:p>
    <w:p>
      <w:pPr>
        <w:ind w:firstLineChars="111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0" w:firstLineChars="0"/>
      </w:pPr>
    </w:p>
    <w:p>
      <w:pPr>
        <w:pStyle w:val="2"/>
        <w:ind w:firstLine="420"/>
      </w:pPr>
      <w:r>
        <w:rPr>
          <w:rFonts w:hint="eastAsia"/>
        </w:rPr>
        <w:t>【版本日志</w:t>
      </w:r>
      <w:r>
        <w:t>】</w:t>
      </w:r>
    </w:p>
    <w:tbl>
      <w:tblPr>
        <w:tblStyle w:val="2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1142"/>
        <w:gridCol w:w="15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更新人</w:t>
            </w:r>
          </w:p>
        </w:tc>
        <w:tc>
          <w:tcPr>
            <w:tcW w:w="936" w:type="pct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更新日期</w:t>
            </w:r>
          </w:p>
        </w:tc>
        <w:tc>
          <w:tcPr>
            <w:tcW w:w="2856" w:type="pct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18"/>
              </w:rPr>
            </w:pPr>
          </w:p>
        </w:tc>
        <w:tc>
          <w:tcPr>
            <w:tcW w:w="9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18"/>
              </w:rPr>
            </w:pPr>
          </w:p>
        </w:tc>
        <w:tc>
          <w:tcPr>
            <w:tcW w:w="2856" w:type="pct"/>
            <w:vAlign w:val="center"/>
          </w:tcPr>
          <w:p>
            <w:pPr>
              <w:pStyle w:val="30"/>
              <w:adjustRightInd w:val="0"/>
              <w:snapToGrid w:val="0"/>
              <w:ind w:left="33" w:firstLine="0" w:firstLineChars="0"/>
              <w:rPr>
                <w:rFonts w:ascii="微软雅黑" w:hAnsi="微软雅黑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18"/>
              </w:rPr>
            </w:pPr>
          </w:p>
        </w:tc>
        <w:tc>
          <w:tcPr>
            <w:tcW w:w="670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18"/>
              </w:rPr>
            </w:pPr>
          </w:p>
        </w:tc>
        <w:tc>
          <w:tcPr>
            <w:tcW w:w="936" w:type="pct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18"/>
              </w:rPr>
            </w:pPr>
          </w:p>
        </w:tc>
        <w:tc>
          <w:tcPr>
            <w:tcW w:w="2856" w:type="pct"/>
            <w:vAlign w:val="center"/>
          </w:tcPr>
          <w:p>
            <w:pPr>
              <w:pStyle w:val="30"/>
              <w:numPr>
                <w:ilvl w:val="-1"/>
                <w:numId w:val="0"/>
              </w:numPr>
              <w:adjustRightInd w:val="0"/>
              <w:snapToGrid w:val="0"/>
              <w:ind w:left="33" w:firstLine="0" w:firstLineChars="0"/>
              <w:rPr>
                <w:rFonts w:ascii="微软雅黑" w:hAnsi="微软雅黑"/>
                <w:szCs w:val="18"/>
              </w:rPr>
            </w:pPr>
          </w:p>
        </w:tc>
      </w:tr>
    </w:tbl>
    <w:p>
      <w:pPr>
        <w:ind w:firstLine="360"/>
      </w:pPr>
    </w:p>
    <w:p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【背景和目标】</w:t>
      </w:r>
    </w:p>
    <w:p>
      <w:pPr>
        <w:ind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健康保障委托账户，受托人根据委托人的委托，为委托人提供健康保障委托管理服务。</w:t>
      </w:r>
    </w:p>
    <w:p>
      <w:pPr>
        <w:ind w:firstLine="360"/>
        <w:rPr>
          <w:rFonts w:hint="eastAsia"/>
        </w:rPr>
      </w:pPr>
      <w:r>
        <w:rPr>
          <w:rFonts w:hint="eastAsia"/>
        </w:rPr>
        <w:t>为区分银行账户中</w:t>
      </w:r>
      <w:r>
        <w:rPr>
          <w:rFonts w:hint="eastAsia"/>
          <w:lang w:eastAsia="zh-CN"/>
        </w:rPr>
        <w:t>各个健康委托账户的现金流</w:t>
      </w:r>
      <w:r>
        <w:rPr>
          <w:rFonts w:hint="eastAsia"/>
        </w:rPr>
        <w:t>，申请数据报表统计每日同一账户类别下资金流入、流出等情况。</w:t>
      </w:r>
    </w:p>
    <w:p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【</w:t>
      </w:r>
      <w:r>
        <w:rPr>
          <w:rFonts w:hint="eastAsia"/>
          <w:lang w:eastAsia="zh-CN"/>
        </w:rPr>
        <w:t>需求内容</w:t>
      </w:r>
      <w:r>
        <w:rPr>
          <w:rFonts w:hint="eastAsia"/>
        </w:rPr>
        <w:t>】</w:t>
      </w:r>
    </w:p>
    <w:p>
      <w:pPr>
        <w:pStyle w:val="3"/>
        <w:numPr>
          <w:ilvl w:val="0"/>
          <w:numId w:val="0"/>
        </w:numPr>
        <w:ind w:left="425"/>
      </w:pPr>
      <w:r>
        <w:rPr>
          <w:rFonts w:hint="eastAsia"/>
        </w:rPr>
        <w:t>菜单说明：现有资金平台-报表管理菜单下新增‘</w:t>
      </w:r>
      <w:r>
        <w:rPr>
          <w:rFonts w:hint="eastAsia"/>
          <w:lang w:eastAsia="zh-CN"/>
        </w:rPr>
        <w:t>健康委托账户</w:t>
      </w:r>
      <w:r>
        <w:rPr>
          <w:rFonts w:hint="eastAsia"/>
        </w:rPr>
        <w:t>现金流量报表’菜单。</w:t>
      </w:r>
    </w:p>
    <w:p>
      <w:pPr>
        <w:pStyle w:val="3"/>
        <w:numPr>
          <w:ilvl w:val="1"/>
          <w:numId w:val="3"/>
        </w:numPr>
      </w:pPr>
      <w:r>
        <w:rPr>
          <w:rFonts w:hint="eastAsia"/>
          <w:lang w:eastAsia="zh-CN"/>
        </w:rPr>
        <w:t>健康委托账户</w:t>
      </w:r>
      <w:r>
        <w:rPr>
          <w:rFonts w:hint="eastAsia"/>
        </w:rPr>
        <w:t>现金流量报表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269865" cy="1972945"/>
            <wp:effectExtent l="0" t="0" r="6985" b="8255"/>
            <wp:docPr id="2" name="图片 2" descr="1610445524227_4D929F2D-9508-4206-8619-E5AED32C2E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10445524227_4D929F2D-9508-4206-8619-E5AED32C2EB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功能简述</w:t>
      </w:r>
    </w:p>
    <w:p>
      <w:pPr>
        <w:ind w:firstLine="360"/>
      </w:pPr>
      <w:r>
        <w:rPr>
          <w:rFonts w:hint="eastAsia"/>
        </w:rPr>
        <w:t>T+1日统计同一账户类别</w:t>
      </w:r>
      <w:r>
        <w:rPr>
          <w:rFonts w:hint="eastAsia"/>
          <w:lang w:eastAsia="zh-CN"/>
        </w:rPr>
        <w:t>：</w:t>
      </w:r>
      <w:r>
        <w:rPr>
          <w:rFonts w:hint="eastAsia"/>
        </w:rPr>
        <w:t>当日现金流量表、当月累计、累计至当日的现金流量报表。</w:t>
      </w:r>
    </w:p>
    <w:p>
      <w:pPr>
        <w:ind w:firstLine="360"/>
      </w:pPr>
      <w:r>
        <w:rPr>
          <w:rFonts w:hint="eastAsia"/>
        </w:rPr>
        <w:t>查询条件（查询条件必录）：</w:t>
      </w:r>
    </w:p>
    <w:p>
      <w:pPr>
        <w:ind w:firstLine="360"/>
      </w:pPr>
      <w:r>
        <w:rPr>
          <w:rFonts w:hint="eastAsia"/>
        </w:rPr>
        <w:t>查询日期：默认为当前系统减1日，不能选择系统当前日期；</w:t>
      </w:r>
    </w:p>
    <w:p>
      <w:pPr>
        <w:ind w:firstLine="360"/>
        <w:rPr>
          <w:rFonts w:hint="eastAsia"/>
        </w:rPr>
      </w:pPr>
      <w:r>
        <w:rPr>
          <w:rFonts w:hint="eastAsia"/>
        </w:rPr>
        <w:t>账户类别：默认“请选择”；该字段动态取值，当万能产品的“账户类别”新增时，下拉列表同步新增。</w:t>
      </w:r>
    </w:p>
    <w:p>
      <w:pPr>
        <w:ind w:firstLine="360"/>
      </w:pPr>
      <w:r>
        <w:rPr>
          <w:rFonts w:hint="eastAsia"/>
        </w:rPr>
        <w:t>查询结果：要求当日在9点之后可以查询到上日的现金流量表。</w:t>
      </w:r>
    </w:p>
    <w:p>
      <w:pPr>
        <w:numPr>
          <w:ilvl w:val="0"/>
          <w:numId w:val="4"/>
        </w:numPr>
        <w:ind w:firstLineChars="0"/>
      </w:pPr>
      <w:r>
        <w:rPr>
          <w:rFonts w:hint="eastAsia"/>
        </w:rPr>
        <w:t>报表指标共计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项，各指标单位：元，具体指标如下：</w:t>
      </w:r>
    </w:p>
    <w:p>
      <w:pPr>
        <w:numPr>
          <w:ilvl w:val="0"/>
          <w:numId w:val="5"/>
        </w:numPr>
        <w:ind w:firstLine="36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业务资金流入：统计同款产品的</w:t>
      </w:r>
      <w:r>
        <w:rPr>
          <w:rFonts w:hint="eastAsia"/>
          <w:color w:val="auto"/>
          <w:highlight w:val="none"/>
          <w:lang w:eastAsia="zh-CN"/>
        </w:rPr>
        <w:t>委托资金、初始管理费、追加委托资金；</w:t>
      </w:r>
    </w:p>
    <w:p>
      <w:pPr>
        <w:numPr>
          <w:ilvl w:val="0"/>
          <w:numId w:val="6"/>
        </w:numPr>
        <w:ind w:left="1260" w:firstLineChars="0"/>
        <w:rPr>
          <w:color w:val="auto"/>
          <w:highlight w:val="none"/>
        </w:rPr>
      </w:pPr>
      <w:r>
        <w:rPr>
          <w:rFonts w:hint="eastAsia"/>
          <w:color w:val="auto"/>
          <w:highlight w:val="none"/>
          <w:lang w:eastAsia="zh-CN"/>
        </w:rPr>
        <w:t>收取委托资金、追加委托资金</w:t>
      </w:r>
      <w:r>
        <w:rPr>
          <w:rFonts w:hint="eastAsia"/>
          <w:color w:val="auto"/>
          <w:highlight w:val="none"/>
        </w:rPr>
        <w:t>对应科目信息：贷方，科目名称|保户储金及投资款-本金；</w:t>
      </w:r>
    </w:p>
    <w:p>
      <w:pPr>
        <w:numPr>
          <w:ilvl w:val="0"/>
          <w:numId w:val="6"/>
        </w:numPr>
        <w:ind w:left="1260" w:firstLineChars="0"/>
        <w:rPr>
          <w:color w:val="auto"/>
          <w:highlight w:val="none"/>
        </w:rPr>
      </w:pPr>
      <w:r>
        <w:rPr>
          <w:rFonts w:hint="eastAsia"/>
          <w:color w:val="auto"/>
          <w:highlight w:val="none"/>
          <w:lang w:eastAsia="zh-CN"/>
        </w:rPr>
        <w:t>收取初始管理费对应科目信息：贷方，科目名称</w:t>
      </w:r>
      <w:r>
        <w:rPr>
          <w:rFonts w:hint="eastAsia"/>
          <w:color w:val="auto"/>
          <w:highlight w:val="none"/>
        </w:rPr>
        <w:t>|</w:t>
      </w:r>
      <w:r>
        <w:rPr>
          <w:rFonts w:hint="eastAsia"/>
          <w:color w:val="auto"/>
          <w:highlight w:val="none"/>
          <w:lang w:eastAsia="zh-CN"/>
        </w:rPr>
        <w:t>保户储金及投资款</w:t>
      </w:r>
      <w:r>
        <w:rPr>
          <w:rFonts w:hint="eastAsia"/>
          <w:color w:val="auto"/>
          <w:highlight w:val="none"/>
          <w:lang w:val="en-US" w:eastAsia="zh-CN"/>
        </w:rPr>
        <w:t>-初始管理费。</w:t>
      </w:r>
    </w:p>
    <w:p>
      <w:pPr>
        <w:numPr>
          <w:ilvl w:val="0"/>
          <w:numId w:val="5"/>
        </w:numPr>
        <w:ind w:firstLine="36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业务资金流出：统计同款产品的</w:t>
      </w:r>
      <w:r>
        <w:rPr>
          <w:rFonts w:hint="eastAsia"/>
          <w:color w:val="auto"/>
          <w:highlight w:val="none"/>
          <w:lang w:eastAsia="zh-CN"/>
        </w:rPr>
        <w:t>初始管理费、赔付款（每季度预付款）、理赔管理费、退出计划后退费、退出手续费、存量结转管理费</w:t>
      </w:r>
      <w:r>
        <w:rPr>
          <w:rFonts w:hint="eastAsia"/>
          <w:color w:val="auto"/>
          <w:highlight w:val="none"/>
        </w:rPr>
        <w:t xml:space="preserve">； </w:t>
      </w:r>
    </w:p>
    <w:p>
      <w:pPr>
        <w:numPr>
          <w:ilvl w:val="0"/>
          <w:numId w:val="6"/>
        </w:numPr>
        <w:ind w:left="1260" w:firstLineChars="0"/>
        <w:rPr>
          <w:color w:val="auto"/>
          <w:highlight w:val="none"/>
        </w:rPr>
      </w:pPr>
      <w:r>
        <w:rPr>
          <w:rFonts w:hint="eastAsia"/>
          <w:color w:val="auto"/>
          <w:highlight w:val="none"/>
          <w:lang w:eastAsia="zh-CN"/>
        </w:rPr>
        <w:t>退出后退费</w:t>
      </w:r>
      <w:r>
        <w:rPr>
          <w:rFonts w:hint="eastAsia"/>
          <w:color w:val="auto"/>
          <w:highlight w:val="none"/>
        </w:rPr>
        <w:t>对应科目信息：借方</w:t>
      </w:r>
      <w:r>
        <w:rPr>
          <w:rFonts w:hint="eastAsia"/>
          <w:color w:val="auto"/>
          <w:highlight w:val="none"/>
          <w:lang w:eastAsia="zh-CN"/>
        </w:rPr>
        <w:t>，</w:t>
      </w:r>
      <w:r>
        <w:rPr>
          <w:rFonts w:hint="eastAsia"/>
          <w:color w:val="auto"/>
          <w:highlight w:val="none"/>
        </w:rPr>
        <w:t>科目名称|保户储金及投资款-</w:t>
      </w:r>
      <w:r>
        <w:rPr>
          <w:rFonts w:hint="eastAsia"/>
          <w:color w:val="auto"/>
          <w:highlight w:val="none"/>
          <w:lang w:eastAsia="zh-CN"/>
        </w:rPr>
        <w:t>退保金；</w:t>
      </w:r>
    </w:p>
    <w:p>
      <w:pPr>
        <w:numPr>
          <w:ilvl w:val="0"/>
          <w:numId w:val="6"/>
        </w:numPr>
        <w:ind w:left="1260" w:firstLineChars="0"/>
        <w:rPr>
          <w:color w:val="auto"/>
          <w:highlight w:val="none"/>
        </w:rPr>
      </w:pPr>
      <w:r>
        <w:rPr>
          <w:rFonts w:hint="eastAsia"/>
          <w:color w:val="auto"/>
          <w:highlight w:val="none"/>
          <w:lang w:eastAsia="zh-CN"/>
        </w:rPr>
        <w:t>支付理赔款、每季度预付款对应科目信息：借方</w:t>
      </w:r>
      <w:r>
        <w:rPr>
          <w:rFonts w:hint="eastAsia"/>
          <w:color w:val="auto"/>
          <w:highlight w:val="none"/>
          <w:lang w:val="en-US" w:eastAsia="zh-CN"/>
        </w:rPr>
        <w:t>,</w:t>
      </w:r>
      <w:r>
        <w:rPr>
          <w:rFonts w:hint="eastAsia"/>
          <w:color w:val="auto"/>
          <w:highlight w:val="none"/>
        </w:rPr>
        <w:t>科目名称|保户储金及投资款-</w:t>
      </w:r>
      <w:r>
        <w:rPr>
          <w:rFonts w:hint="eastAsia"/>
          <w:color w:val="auto"/>
          <w:highlight w:val="none"/>
          <w:lang w:eastAsia="zh-CN"/>
        </w:rPr>
        <w:t>赔款支出；</w:t>
      </w:r>
    </w:p>
    <w:p>
      <w:pPr>
        <w:numPr>
          <w:ilvl w:val="0"/>
          <w:numId w:val="6"/>
        </w:numPr>
        <w:ind w:left="1260" w:firstLineChars="0"/>
        <w:rPr>
          <w:color w:val="auto"/>
          <w:highlight w:val="none"/>
        </w:rPr>
      </w:pPr>
      <w:r>
        <w:rPr>
          <w:rFonts w:hint="eastAsia"/>
          <w:color w:val="auto"/>
          <w:highlight w:val="none"/>
          <w:lang w:eastAsia="zh-CN"/>
        </w:rPr>
        <w:t>扣除存量结转管理费对应科目信息：</w:t>
      </w:r>
      <w:r>
        <w:rPr>
          <w:rFonts w:hint="eastAsia"/>
          <w:color w:val="auto"/>
          <w:highlight w:val="none"/>
        </w:rPr>
        <w:t>借方，科目名称|保户储金及投资款-</w:t>
      </w:r>
      <w:r>
        <w:rPr>
          <w:rFonts w:hint="eastAsia"/>
          <w:color w:val="auto"/>
          <w:highlight w:val="none"/>
          <w:lang w:eastAsia="zh-CN"/>
        </w:rPr>
        <w:t>存量结转管理费；</w:t>
      </w:r>
    </w:p>
    <w:p>
      <w:pPr>
        <w:numPr>
          <w:ilvl w:val="0"/>
          <w:numId w:val="6"/>
        </w:numPr>
        <w:ind w:left="1260" w:firstLineChars="0"/>
        <w:rPr>
          <w:color w:val="auto"/>
          <w:highlight w:val="none"/>
        </w:rPr>
      </w:pPr>
      <w:r>
        <w:rPr>
          <w:rFonts w:hint="eastAsia"/>
          <w:color w:val="auto"/>
          <w:highlight w:val="none"/>
          <w:lang w:eastAsia="zh-CN"/>
        </w:rPr>
        <w:t>扣除理赔管理费对应科目信息：</w:t>
      </w:r>
      <w:r>
        <w:rPr>
          <w:rFonts w:hint="eastAsia"/>
          <w:color w:val="auto"/>
          <w:highlight w:val="none"/>
        </w:rPr>
        <w:t>借</w:t>
      </w:r>
      <w:r>
        <w:rPr>
          <w:rFonts w:hint="eastAsia"/>
          <w:color w:val="auto"/>
          <w:highlight w:val="none"/>
          <w:lang w:eastAsia="zh-CN"/>
        </w:rPr>
        <w:t>方，科目名称</w:t>
      </w:r>
      <w:r>
        <w:rPr>
          <w:rFonts w:hint="eastAsia"/>
          <w:color w:val="auto"/>
          <w:highlight w:val="none"/>
        </w:rPr>
        <w:t>|</w:t>
      </w:r>
      <w:r>
        <w:rPr>
          <w:rFonts w:hint="eastAsia"/>
          <w:color w:val="auto"/>
          <w:highlight w:val="none"/>
          <w:lang w:eastAsia="zh-CN"/>
        </w:rPr>
        <w:t>保户储金及投资款</w:t>
      </w:r>
      <w:r>
        <w:rPr>
          <w:rFonts w:hint="eastAsia"/>
          <w:color w:val="auto"/>
          <w:highlight w:val="none"/>
          <w:lang w:val="en-US" w:eastAsia="zh-CN"/>
        </w:rPr>
        <w:t>-理赔管理费；</w:t>
      </w:r>
    </w:p>
    <w:p>
      <w:pPr>
        <w:numPr>
          <w:ilvl w:val="0"/>
          <w:numId w:val="6"/>
        </w:numPr>
        <w:ind w:left="1260" w:firstLineChars="0"/>
        <w:rPr>
          <w:color w:val="auto"/>
          <w:highlight w:val="none"/>
        </w:rPr>
      </w:pPr>
      <w:r>
        <w:rPr>
          <w:rFonts w:hint="eastAsia"/>
          <w:color w:val="auto"/>
          <w:highlight w:val="none"/>
          <w:lang w:eastAsia="zh-CN"/>
        </w:rPr>
        <w:t>扣除退出手续费对应科目信息：</w:t>
      </w:r>
      <w:r>
        <w:rPr>
          <w:rFonts w:hint="eastAsia"/>
          <w:color w:val="auto"/>
          <w:highlight w:val="none"/>
        </w:rPr>
        <w:t>借</w:t>
      </w:r>
      <w:r>
        <w:rPr>
          <w:rFonts w:hint="eastAsia"/>
          <w:color w:val="auto"/>
          <w:highlight w:val="none"/>
          <w:lang w:eastAsia="zh-CN"/>
        </w:rPr>
        <w:t>方，科目名称</w:t>
      </w:r>
      <w:r>
        <w:rPr>
          <w:rFonts w:hint="eastAsia"/>
          <w:color w:val="auto"/>
          <w:highlight w:val="none"/>
        </w:rPr>
        <w:t>|</w:t>
      </w:r>
      <w:r>
        <w:rPr>
          <w:rFonts w:hint="eastAsia"/>
          <w:color w:val="auto"/>
          <w:highlight w:val="none"/>
          <w:lang w:eastAsia="zh-CN"/>
        </w:rPr>
        <w:t>保户储金及投资款</w:t>
      </w:r>
      <w:r>
        <w:rPr>
          <w:rFonts w:hint="eastAsia"/>
          <w:color w:val="auto"/>
          <w:highlight w:val="none"/>
          <w:lang w:val="en-US" w:eastAsia="zh-CN"/>
        </w:rPr>
        <w:t>-退出费用；</w:t>
      </w:r>
    </w:p>
    <w:p>
      <w:pPr>
        <w:numPr>
          <w:ilvl w:val="0"/>
          <w:numId w:val="6"/>
        </w:numPr>
        <w:ind w:left="1260" w:firstLineChars="0"/>
        <w:rPr>
          <w:color w:val="auto"/>
          <w:highlight w:val="none"/>
        </w:rPr>
      </w:pPr>
      <w:r>
        <w:rPr>
          <w:rFonts w:hint="eastAsia"/>
          <w:color w:val="auto"/>
          <w:highlight w:val="none"/>
          <w:lang w:eastAsia="zh-CN"/>
        </w:rPr>
        <w:t>扣除初始管理费对应科目信息：借方，科目名称</w:t>
      </w:r>
      <w:r>
        <w:rPr>
          <w:rFonts w:hint="eastAsia"/>
          <w:color w:val="auto"/>
          <w:highlight w:val="none"/>
        </w:rPr>
        <w:t>|</w:t>
      </w:r>
      <w:r>
        <w:rPr>
          <w:rFonts w:hint="eastAsia"/>
          <w:color w:val="auto"/>
          <w:highlight w:val="none"/>
          <w:lang w:eastAsia="zh-CN"/>
        </w:rPr>
        <w:t>保户储金及投资款</w:t>
      </w:r>
      <w:r>
        <w:rPr>
          <w:rFonts w:hint="eastAsia"/>
          <w:color w:val="auto"/>
          <w:highlight w:val="none"/>
          <w:lang w:val="en-US" w:eastAsia="zh-CN"/>
        </w:rPr>
        <w:t>-初始管理费。</w:t>
      </w:r>
    </w:p>
    <w:p>
      <w:pPr>
        <w:numPr>
          <w:ilvl w:val="0"/>
          <w:numId w:val="5"/>
        </w:numPr>
        <w:ind w:firstLine="360"/>
        <w:rPr>
          <w:highlight w:val="none"/>
        </w:rPr>
      </w:pPr>
      <w:r>
        <w:rPr>
          <w:rFonts w:hint="eastAsia"/>
          <w:highlight w:val="none"/>
        </w:rPr>
        <w:t>净现金流=业务资金流入 - 业务资金流出</w:t>
      </w:r>
    </w:p>
    <w:p>
      <w:pPr>
        <w:numPr>
          <w:ilvl w:val="0"/>
          <w:numId w:val="5"/>
        </w:numPr>
        <w:ind w:firstLine="360"/>
        <w:rPr>
          <w:highlight w:val="none"/>
        </w:rPr>
      </w:pPr>
      <w:r>
        <w:rPr>
          <w:rFonts w:hint="eastAsia"/>
          <w:highlight w:val="none"/>
          <w:lang w:eastAsia="zh-CN"/>
        </w:rPr>
        <w:t>手工调整</w:t>
      </w:r>
      <w:r>
        <w:rPr>
          <w:rFonts w:hint="eastAsia"/>
          <w:highlight w:val="none"/>
        </w:rPr>
        <w:t>：录入框，财务手工填写，可填写负数</w:t>
      </w:r>
      <w:r>
        <w:rPr>
          <w:rFonts w:hint="eastAsia"/>
          <w:highlight w:val="none"/>
          <w:lang w:eastAsia="zh-CN"/>
        </w:rPr>
        <w:t>和</w:t>
      </w:r>
      <w:r>
        <w:rPr>
          <w:rFonts w:hint="eastAsia"/>
          <w:highlight w:val="none"/>
          <w:lang w:val="en-US" w:eastAsia="zh-CN"/>
        </w:rPr>
        <w:t>0</w:t>
      </w:r>
      <w:r>
        <w:rPr>
          <w:rFonts w:hint="eastAsia"/>
          <w:highlight w:val="none"/>
        </w:rPr>
        <w:t>；</w:t>
      </w:r>
    </w:p>
    <w:p>
      <w:pPr>
        <w:numPr>
          <w:ilvl w:val="0"/>
          <w:numId w:val="5"/>
        </w:numPr>
        <w:ind w:firstLine="360"/>
        <w:rPr>
          <w:highlight w:val="none"/>
        </w:rPr>
      </w:pPr>
      <w:r>
        <w:rPr>
          <w:rFonts w:hint="eastAsia"/>
          <w:highlight w:val="none"/>
        </w:rPr>
        <w:t>合计：净现金流 +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eastAsia="zh-CN"/>
        </w:rPr>
        <w:t>手工调整</w:t>
      </w:r>
      <w:r>
        <w:rPr>
          <w:rFonts w:hint="eastAsia"/>
          <w:highlight w:val="none"/>
        </w:rPr>
        <w:t>。</w:t>
      </w:r>
    </w:p>
    <w:p>
      <w:pPr>
        <w:numPr>
          <w:ilvl w:val="0"/>
          <w:numId w:val="5"/>
        </w:numPr>
        <w:ind w:firstLine="360"/>
      </w:pPr>
      <w:r>
        <w:rPr>
          <w:rFonts w:hint="eastAsia"/>
        </w:rPr>
        <w:t>总合计</w:t>
      </w:r>
    </w:p>
    <w:p>
      <w:pPr>
        <w:numPr>
          <w:ilvl w:val="0"/>
          <w:numId w:val="6"/>
        </w:numPr>
        <w:ind w:left="1260" w:firstLineChars="0"/>
      </w:pPr>
      <w:r>
        <w:rPr>
          <w:rFonts w:hint="eastAsia"/>
        </w:rPr>
        <w:t>业务资金流入合计：同一账户类别业务资金流入求和</w:t>
      </w:r>
    </w:p>
    <w:p>
      <w:pPr>
        <w:numPr>
          <w:ilvl w:val="0"/>
          <w:numId w:val="6"/>
        </w:numPr>
        <w:ind w:left="1260" w:firstLineChars="0"/>
      </w:pPr>
      <w:r>
        <w:rPr>
          <w:rFonts w:hint="eastAsia"/>
        </w:rPr>
        <w:t>业务资金流出合计：同一账户类别业务资金流出求和；</w:t>
      </w:r>
    </w:p>
    <w:p>
      <w:pPr>
        <w:numPr>
          <w:ilvl w:val="0"/>
          <w:numId w:val="6"/>
        </w:numPr>
        <w:ind w:left="1260" w:firstLineChars="0"/>
      </w:pPr>
      <w:r>
        <w:rPr>
          <w:rFonts w:hint="eastAsia"/>
        </w:rPr>
        <w:t>净现金流合计：同一账户类别净现金流求和</w:t>
      </w:r>
    </w:p>
    <w:p>
      <w:pPr>
        <w:numPr>
          <w:ilvl w:val="0"/>
          <w:numId w:val="5"/>
        </w:numPr>
        <w:ind w:firstLine="360"/>
      </w:pPr>
      <w:r>
        <w:rPr>
          <w:rFonts w:hint="eastAsia"/>
        </w:rPr>
        <w:t>当日应拨付金额=当日同一账户类别产品净现金流合计 + 上日结余；</w:t>
      </w:r>
    </w:p>
    <w:p>
      <w:pPr>
        <w:numPr>
          <w:ilvl w:val="0"/>
          <w:numId w:val="5"/>
        </w:numPr>
        <w:ind w:firstLine="360"/>
      </w:pPr>
      <w:r>
        <w:rPr>
          <w:rFonts w:hint="eastAsia"/>
        </w:rPr>
        <w:t>当日实际拨付金额：当日填写的本次实际拨付金额的合计；</w:t>
      </w:r>
    </w:p>
    <w:p>
      <w:pPr>
        <w:numPr>
          <w:ilvl w:val="0"/>
          <w:numId w:val="5"/>
        </w:numPr>
        <w:ind w:firstLine="360"/>
      </w:pPr>
      <w:r>
        <w:rPr>
          <w:rFonts w:hint="eastAsia"/>
        </w:rPr>
        <w:t>当日结余：应拨付金额</w:t>
      </w:r>
      <w:r>
        <w:rPr>
          <w:rFonts w:hint="eastAsia"/>
          <w:lang w:val="en-US" w:eastAsia="zh-CN"/>
        </w:rPr>
        <w:t xml:space="preserve"> - </w:t>
      </w:r>
      <w:r>
        <w:rPr>
          <w:rFonts w:hint="eastAsia"/>
        </w:rPr>
        <w:t>实际拨付金额；</w:t>
      </w:r>
    </w:p>
    <w:p>
      <w:pPr>
        <w:numPr>
          <w:ilvl w:val="0"/>
          <w:numId w:val="4"/>
        </w:numPr>
        <w:ind w:firstLineChars="0"/>
      </w:pPr>
      <w:r>
        <w:rPr>
          <w:rFonts w:hint="eastAsia"/>
        </w:rPr>
        <w:t>每日报表初始生成是当日实际拨付金额初始值为0.00元；</w:t>
      </w:r>
    </w:p>
    <w:p>
      <w:pPr>
        <w:numPr>
          <w:ilvl w:val="0"/>
          <w:numId w:val="4"/>
        </w:numPr>
        <w:ind w:firstLineChars="0"/>
      </w:pPr>
      <w:r>
        <w:rPr>
          <w:rFonts w:hint="eastAsia"/>
        </w:rPr>
        <w:t>填写本次实际拨付金额（可填写负数）后点击更新报表，计算当日实际拨付金额、当日结余。上述两个值支持录入单个更新报表，也支持同时录入更新报表。</w:t>
      </w:r>
    </w:p>
    <w:p>
      <w:pPr>
        <w:numPr>
          <w:ilvl w:val="0"/>
          <w:numId w:val="4"/>
        </w:numPr>
        <w:ind w:firstLineChars="0"/>
      </w:pPr>
      <w:r>
        <w:rPr>
          <w:rFonts w:hint="eastAsia"/>
        </w:rPr>
        <w:t>以上指标按照当日、当月累计（当月1号至查询日）、累计至当日（开卖日至查询日）进行汇总计算，具体见‘指标说明’。</w:t>
      </w:r>
    </w:p>
    <w:p>
      <w:pPr>
        <w:numPr>
          <w:ilvl w:val="0"/>
          <w:numId w:val="4"/>
        </w:numPr>
        <w:ind w:firstLineChars="0"/>
      </w:pPr>
      <w:r>
        <w:rPr>
          <w:rFonts w:hint="eastAsia"/>
        </w:rPr>
        <w:t>若查询日期为系统当前日期减1日则展示，</w:t>
      </w:r>
      <w:r>
        <w:rPr>
          <w:rFonts w:hint="eastAsia"/>
          <w:color w:val="auto"/>
        </w:rPr>
        <w:t>允许填写本次实际拨付金额</w:t>
      </w:r>
      <w:r>
        <w:rPr>
          <w:rFonts w:hint="eastAsia"/>
        </w:rPr>
        <w:t>，点击更新报表按钮；若查询日期非系统当前日期减1日则不展示本次实际拨付金额及更新报表按钮；单位：万元；说明：手工填</w:t>
      </w:r>
    </w:p>
    <w:p>
      <w:pPr>
        <w:numPr>
          <w:ilvl w:val="0"/>
          <w:numId w:val="4"/>
        </w:numPr>
        <w:ind w:firstLineChars="0"/>
      </w:pPr>
      <w:r>
        <w:rPr>
          <w:rFonts w:hint="eastAsia"/>
        </w:rPr>
        <w:t>写的实际拨付金额不做系统记账。</w:t>
      </w:r>
    </w:p>
    <w:p>
      <w:pPr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  <w:lang w:eastAsia="zh-CN"/>
        </w:rPr>
        <w:t>详细业务流程如下：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智保：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资金流入：</w:t>
      </w:r>
    </w:p>
    <w:p>
      <w:pPr>
        <w:numPr>
          <w:ilvl w:val="0"/>
          <w:numId w:val="7"/>
        </w:numPr>
        <w:ind w:leftChars="0" w:firstLine="360" w:firstLineChars="200"/>
        <w:rPr>
          <w:rFonts w:hint="eastAsia"/>
          <w:color w:val="auto"/>
        </w:rPr>
      </w:pPr>
      <w:r>
        <w:rPr>
          <w:rFonts w:hint="eastAsia"/>
        </w:rPr>
        <w:t>智保科技的委托资金以对公转账的形式向我社支付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6"/>
        </w:numPr>
        <w:ind w:left="1260" w:firstLineChars="0"/>
        <w:rPr>
          <w:color w:val="FF0000"/>
          <w:highlight w:val="none"/>
        </w:rPr>
      </w:pPr>
      <w:r>
        <w:rPr>
          <w:rFonts w:hint="eastAsia"/>
          <w:color w:val="FF0000"/>
          <w:highlight w:val="none"/>
          <w:lang w:eastAsia="zh-CN"/>
        </w:rPr>
        <w:t>收取委托资金、追加委托金</w:t>
      </w:r>
      <w:r>
        <w:rPr>
          <w:rFonts w:hint="eastAsia"/>
          <w:color w:val="FF0000"/>
          <w:highlight w:val="none"/>
        </w:rPr>
        <w:t>对应科目信息：贷方，保户储金及投资款-本金；</w:t>
      </w:r>
    </w:p>
    <w:p>
      <w:pPr>
        <w:numPr>
          <w:ilvl w:val="0"/>
          <w:numId w:val="0"/>
        </w:numPr>
        <w:rPr>
          <w:rFonts w:hint="eastAsia" w:cs="Tahoma" w:asciiTheme="minorEastAsia" w:hAnsiTheme="minorEastAsia"/>
          <w:b/>
          <w:bCs/>
          <w:color w:val="auto"/>
          <w:szCs w:val="21"/>
          <w:shd w:val="clear" w:color="auto" w:fill="FFFFFF"/>
          <w:lang w:eastAsia="zh-CN"/>
        </w:rPr>
      </w:pPr>
      <w:r>
        <w:rPr>
          <w:rFonts w:hint="eastAsia" w:cs="Tahoma" w:asciiTheme="minorEastAsia" w:hAnsiTheme="minorEastAsia"/>
          <w:b/>
          <w:bCs/>
          <w:color w:val="auto"/>
          <w:szCs w:val="21"/>
          <w:shd w:val="clear" w:color="auto" w:fill="FFFFFF"/>
          <w:lang w:eastAsia="zh-CN"/>
        </w:rPr>
        <w:t>资金流出：</w:t>
      </w:r>
    </w:p>
    <w:p>
      <w:pPr>
        <w:numPr>
          <w:ilvl w:val="0"/>
          <w:numId w:val="8"/>
        </w:numPr>
        <w:ind w:leftChars="0" w:firstLine="3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我社在每次的委托资金中直接扣除约定的初始管理费。</w:t>
      </w:r>
    </w:p>
    <w:p>
      <w:pPr>
        <w:numPr>
          <w:ilvl w:val="0"/>
          <w:numId w:val="6"/>
        </w:numPr>
        <w:ind w:left="1260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highlight w:val="none"/>
          <w:lang w:eastAsia="zh-CN"/>
        </w:rPr>
        <w:t>扣除初始管理费用对应科目信息：借方，保户储金及投资款-初始管理费</w:t>
      </w:r>
    </w:p>
    <w:p>
      <w:pPr>
        <w:numPr>
          <w:ilvl w:val="0"/>
          <w:numId w:val="8"/>
        </w:numPr>
        <w:ind w:leftChars="0" w:firstLine="360" w:firstLineChars="200"/>
        <w:rPr>
          <w:rFonts w:hint="eastAsia"/>
          <w:lang w:eastAsia="zh-CN"/>
        </w:rPr>
      </w:pPr>
      <w:r>
        <w:rPr>
          <w:rFonts w:hint="eastAsia"/>
        </w:rPr>
        <w:t>智保申请赔款时，我社以理赔款形式，根据客户信息向客户银行卡支付理赔款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6"/>
        </w:numPr>
        <w:ind w:left="1260" w:firstLineChars="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highlight w:val="none"/>
          <w:lang w:eastAsia="zh-CN"/>
        </w:rPr>
        <w:t>支付赔款对应科目信息：</w:t>
      </w:r>
      <w:r>
        <w:rPr>
          <w:rFonts w:hint="eastAsia"/>
          <w:color w:val="FF0000"/>
          <w:highlight w:val="none"/>
        </w:rPr>
        <w:t>借方</w:t>
      </w:r>
      <w:r>
        <w:rPr>
          <w:rFonts w:hint="eastAsia"/>
          <w:color w:val="FF0000"/>
          <w:highlight w:val="none"/>
          <w:lang w:eastAsia="zh-CN"/>
        </w:rPr>
        <w:t>，</w:t>
      </w:r>
      <w:r>
        <w:rPr>
          <w:rFonts w:hint="eastAsia"/>
          <w:color w:val="FF0000"/>
          <w:highlight w:val="none"/>
        </w:rPr>
        <w:t>保户储金及投资款-</w:t>
      </w:r>
      <w:r>
        <w:rPr>
          <w:rFonts w:hint="eastAsia"/>
          <w:color w:val="FF0000"/>
          <w:highlight w:val="none"/>
          <w:lang w:eastAsia="zh-CN"/>
        </w:rPr>
        <w:t>赔款支出</w:t>
      </w:r>
    </w:p>
    <w:p>
      <w:pPr>
        <w:numPr>
          <w:ilvl w:val="0"/>
          <w:numId w:val="8"/>
        </w:numPr>
        <w:ind w:leftChars="0" w:firstLine="3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支付理赔款时，相应扣除理赔管理费。</w:t>
      </w:r>
    </w:p>
    <w:p>
      <w:pPr>
        <w:numPr>
          <w:ilvl w:val="0"/>
          <w:numId w:val="6"/>
        </w:numPr>
        <w:ind w:left="1260" w:firstLineChars="0"/>
        <w:rPr>
          <w:rFonts w:hint="eastAsia"/>
          <w:color w:val="FF0000"/>
          <w:highlight w:val="none"/>
          <w:lang w:eastAsia="zh-CN"/>
        </w:rPr>
      </w:pPr>
      <w:r>
        <w:rPr>
          <w:rFonts w:hint="eastAsia"/>
          <w:color w:val="FF0000"/>
          <w:highlight w:val="none"/>
          <w:lang w:eastAsia="zh-CN"/>
        </w:rPr>
        <w:t>扣除理费用对应科目信息：借方，保户储金及投资款-理赔管理费</w:t>
      </w:r>
    </w:p>
    <w:p>
      <w:pPr>
        <w:numPr>
          <w:ilvl w:val="0"/>
          <w:numId w:val="8"/>
        </w:numPr>
        <w:ind w:leftChars="0" w:firstLine="3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续期时，</w:t>
      </w:r>
      <w:r>
        <w:rPr>
          <w:rFonts w:hint="eastAsia"/>
          <w:lang w:eastAsia="zh-CN"/>
        </w:rPr>
        <w:t>只要客户约定的保障期未到期，且项目没有终止，则相关客户均续转至下一年，仍以池内资金作为委托资金。</w:t>
      </w:r>
    </w:p>
    <w:p>
      <w:pPr>
        <w:numPr>
          <w:ilvl w:val="0"/>
          <w:numId w:val="6"/>
        </w:numPr>
        <w:ind w:left="1260" w:firstLineChars="0"/>
        <w:rPr>
          <w:color w:val="FF0000"/>
          <w:highlight w:val="none"/>
        </w:rPr>
      </w:pPr>
      <w:r>
        <w:rPr>
          <w:rFonts w:hint="eastAsia"/>
          <w:color w:val="FF0000"/>
          <w:highlight w:val="none"/>
          <w:lang w:eastAsia="zh-CN"/>
        </w:rPr>
        <w:t>扣除存量结转管理费对应科目信息：借方，保户储金及投资款</w:t>
      </w:r>
      <w:r>
        <w:rPr>
          <w:rFonts w:hint="eastAsia"/>
          <w:color w:val="FF0000"/>
          <w:highlight w:val="none"/>
          <w:lang w:val="en-US" w:eastAsia="zh-CN"/>
        </w:rPr>
        <w:t>-存量结转管理费</w:t>
      </w:r>
    </w:p>
    <w:p>
      <w:pPr>
        <w:numPr>
          <w:ilvl w:val="0"/>
          <w:numId w:val="0"/>
        </w:numPr>
        <w:rPr>
          <w:rFonts w:hint="default" w:eastAsia="微软雅黑" w:cs="Tahoma" w:asciiTheme="minorEastAsia" w:hAnsiTheme="minorEastAsia"/>
          <w:color w:val="auto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="Tahoma" w:asciiTheme="minorEastAsia" w:hAnsiTheme="minorEastAsia"/>
          <w:b/>
          <w:bCs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cs="Tahoma" w:asciiTheme="minorEastAsia" w:hAnsiTheme="minorEastAsia"/>
          <w:b/>
          <w:bCs/>
          <w:color w:val="333333"/>
          <w:szCs w:val="21"/>
          <w:shd w:val="clear" w:color="auto" w:fill="FFFFFF"/>
          <w:lang w:val="en-US" w:eastAsia="zh-CN"/>
        </w:rPr>
        <w:t>清濛：</w:t>
      </w:r>
    </w:p>
    <w:p>
      <w:pPr>
        <w:widowControl w:val="0"/>
        <w:numPr>
          <w:ilvl w:val="0"/>
          <w:numId w:val="0"/>
        </w:numPr>
        <w:jc w:val="both"/>
        <w:rPr>
          <w:rFonts w:hint="eastAsia" w:cs="Tahoma" w:asciiTheme="minorEastAsia" w:hAnsiTheme="minorEastAsia"/>
          <w:b/>
          <w:bCs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cs="Tahoma" w:asciiTheme="minorEastAsia" w:hAnsiTheme="minorEastAsia"/>
          <w:b/>
          <w:bCs/>
          <w:color w:val="333333"/>
          <w:szCs w:val="21"/>
          <w:shd w:val="clear" w:color="auto" w:fill="FFFFFF"/>
          <w:lang w:val="en-US" w:eastAsia="zh-CN"/>
        </w:rPr>
        <w:t>资金流入：</w:t>
      </w:r>
    </w:p>
    <w:p>
      <w:pPr>
        <w:numPr>
          <w:ilvl w:val="0"/>
          <w:numId w:val="9"/>
        </w:numPr>
        <w:ind w:leftChars="0" w:firstLine="360" w:firstLineChars="200"/>
        <w:rPr>
          <w:rFonts w:hint="eastAsia"/>
        </w:rPr>
      </w:pPr>
      <w:r>
        <w:rPr>
          <w:rFonts w:hint="eastAsia"/>
        </w:rPr>
        <w:t>委托人的委托资金以对公转账的形式向我社支付，管理费用不在当次扣除，与我社进行后结算（季度）。</w:t>
      </w:r>
    </w:p>
    <w:p>
      <w:pPr>
        <w:numPr>
          <w:ilvl w:val="0"/>
          <w:numId w:val="6"/>
        </w:numPr>
        <w:ind w:left="1260" w:firstLineChars="0"/>
        <w:rPr>
          <w:color w:val="FF0000"/>
          <w:highlight w:val="none"/>
        </w:rPr>
      </w:pPr>
      <w:r>
        <w:rPr>
          <w:rFonts w:hint="eastAsia"/>
          <w:color w:val="FF0000"/>
          <w:highlight w:val="none"/>
          <w:lang w:eastAsia="zh-CN"/>
        </w:rPr>
        <w:t>收取委托资金、追加委托金、初始管理费</w:t>
      </w:r>
      <w:r>
        <w:rPr>
          <w:rFonts w:hint="eastAsia"/>
          <w:color w:val="FF0000"/>
          <w:highlight w:val="none"/>
        </w:rPr>
        <w:t>对应科目信息：贷方，保户储金及投资款-本金；</w:t>
      </w:r>
    </w:p>
    <w:p>
      <w:pPr>
        <w:numPr>
          <w:ilvl w:val="0"/>
          <w:numId w:val="9"/>
        </w:numPr>
        <w:ind w:leftChars="0" w:firstLine="360" w:firstLineChars="200"/>
        <w:rPr>
          <w:rFonts w:hint="eastAsia"/>
        </w:rPr>
      </w:pPr>
      <w:r>
        <w:rPr>
          <w:rFonts w:hint="eastAsia"/>
          <w:lang w:eastAsia="zh-CN"/>
        </w:rPr>
        <w:t>客户中途退出计划，我社先收回已支付的服务费。</w:t>
      </w:r>
    </w:p>
    <w:p>
      <w:pPr>
        <w:numPr>
          <w:ilvl w:val="0"/>
          <w:numId w:val="6"/>
        </w:numPr>
        <w:ind w:left="1260" w:firstLineChars="0"/>
        <w:rPr>
          <w:rFonts w:hint="default" w:eastAsia="微软雅黑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eastAsia="zh-CN"/>
        </w:rPr>
        <w:t>收回已支付的服务费</w:t>
      </w:r>
      <w:r>
        <w:rPr>
          <w:rFonts w:hint="eastAsia"/>
          <w:color w:val="FF0000"/>
          <w:highlight w:val="none"/>
        </w:rPr>
        <w:t>对应科目信息：贷方，保户储金及投资款-本金</w:t>
      </w:r>
    </w:p>
    <w:p>
      <w:pPr>
        <w:widowControl w:val="0"/>
        <w:numPr>
          <w:ilvl w:val="0"/>
          <w:numId w:val="0"/>
        </w:numPr>
        <w:jc w:val="both"/>
        <w:rPr>
          <w:rFonts w:hint="eastAsia" w:cs="Tahoma" w:asciiTheme="minorEastAsia" w:hAnsiTheme="minorEastAsia"/>
          <w:b/>
          <w:bCs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cs="Tahoma" w:asciiTheme="minorEastAsia" w:hAnsiTheme="minorEastAsia"/>
          <w:b/>
          <w:bCs/>
          <w:color w:val="333333"/>
          <w:szCs w:val="21"/>
          <w:shd w:val="clear" w:color="auto" w:fill="FFFFFF"/>
          <w:lang w:val="en-US" w:eastAsia="zh-CN"/>
        </w:rPr>
        <w:t>资金流出：</w:t>
      </w:r>
    </w:p>
    <w:p>
      <w:pPr>
        <w:numPr>
          <w:ilvl w:val="0"/>
          <w:numId w:val="10"/>
        </w:numPr>
        <w:ind w:left="360" w:leftChars="200" w:firstLine="0" w:firstLineChars="0"/>
        <w:rPr>
          <w:rFonts w:hint="eastAsia"/>
        </w:rPr>
      </w:pPr>
      <w:r>
        <w:rPr>
          <w:rFonts w:hint="eastAsia"/>
          <w:lang w:eastAsia="zh-CN"/>
        </w:rPr>
        <w:t>我社扣除清濛后结算的初始管理费。</w:t>
      </w:r>
    </w:p>
    <w:p>
      <w:pPr>
        <w:numPr>
          <w:ilvl w:val="0"/>
          <w:numId w:val="6"/>
        </w:numPr>
        <w:ind w:left="1260" w:firstLineChars="0"/>
        <w:rPr>
          <w:rFonts w:hint="eastAsia"/>
          <w:color w:val="FF0000"/>
        </w:rPr>
      </w:pPr>
      <w:r>
        <w:rPr>
          <w:rFonts w:hint="eastAsia"/>
          <w:color w:val="FF0000"/>
          <w:highlight w:val="none"/>
          <w:lang w:eastAsia="zh-CN"/>
        </w:rPr>
        <w:t>扣除初始管理费用对应科目信息：借方，保户储金及投资款-初始管理费</w:t>
      </w:r>
      <w:bookmarkStart w:id="1" w:name="_GoBack"/>
      <w:bookmarkEnd w:id="1"/>
    </w:p>
    <w:p>
      <w:pPr>
        <w:numPr>
          <w:ilvl w:val="0"/>
          <w:numId w:val="10"/>
        </w:numPr>
        <w:ind w:left="360" w:leftChars="200" w:firstLine="0" w:firstLineChars="0"/>
        <w:rPr>
          <w:rFonts w:hint="eastAsia"/>
        </w:rPr>
      </w:pPr>
      <w:r>
        <w:rPr>
          <w:rFonts w:hint="eastAsia"/>
        </w:rPr>
        <w:t>实际赔款在季度末按实际发生结算，委托人向我社提供账单，我社在已支付的预付款中扣去实际赔款，与下一季度预付款中轧差支付给服务方。计算方式如下：</w:t>
      </w:r>
    </w:p>
    <w:p>
      <w:pPr>
        <w:numPr>
          <w:ilvl w:val="0"/>
          <w:numId w:val="0"/>
        </w:numPr>
        <w:ind w:firstLine="720" w:firstLineChars="400"/>
        <w:rPr>
          <w:rFonts w:hint="eastAsia"/>
          <w:color w:val="auto"/>
        </w:rPr>
      </w:pPr>
      <w:r>
        <w:rPr>
          <w:rFonts w:hint="eastAsia"/>
          <w:color w:val="auto"/>
        </w:rPr>
        <w:t>本季度付款 = 本季度预付款-（上季度预付款-上季度实际发生金额）</w:t>
      </w:r>
    </w:p>
    <w:p>
      <w:pPr>
        <w:numPr>
          <w:ilvl w:val="0"/>
          <w:numId w:val="6"/>
        </w:numPr>
        <w:ind w:left="1260" w:firstLineChars="0"/>
        <w:rPr>
          <w:rFonts w:hint="eastAsia"/>
          <w:color w:val="FF0000"/>
        </w:rPr>
      </w:pPr>
      <w:r>
        <w:rPr>
          <w:rFonts w:hint="eastAsia"/>
          <w:color w:val="FF0000"/>
          <w:highlight w:val="none"/>
          <w:lang w:eastAsia="zh-CN"/>
        </w:rPr>
        <w:t>每季度预付理赔款对应科目信息</w:t>
      </w:r>
      <w:r>
        <w:rPr>
          <w:rFonts w:hint="eastAsia"/>
          <w:color w:val="FF0000"/>
          <w:highlight w:val="none"/>
        </w:rPr>
        <w:t>：借方</w:t>
      </w:r>
      <w:r>
        <w:rPr>
          <w:rFonts w:hint="eastAsia"/>
          <w:color w:val="FF0000"/>
          <w:highlight w:val="none"/>
          <w:lang w:eastAsia="zh-CN"/>
        </w:rPr>
        <w:t>，</w:t>
      </w:r>
      <w:r>
        <w:rPr>
          <w:rFonts w:hint="eastAsia"/>
          <w:color w:val="FF0000"/>
          <w:highlight w:val="none"/>
        </w:rPr>
        <w:t>保户储金及投资款-</w:t>
      </w:r>
      <w:r>
        <w:rPr>
          <w:rFonts w:hint="eastAsia"/>
          <w:color w:val="FF0000"/>
          <w:highlight w:val="none"/>
          <w:lang w:eastAsia="zh-CN"/>
        </w:rPr>
        <w:t>赔款支出</w:t>
      </w:r>
    </w:p>
    <w:p>
      <w:pPr>
        <w:numPr>
          <w:ilvl w:val="0"/>
          <w:numId w:val="10"/>
        </w:numPr>
        <w:ind w:left="360" w:leftChars="200" w:firstLine="0" w:firstLineChars="0"/>
        <w:rPr>
          <w:rFonts w:hint="eastAsia"/>
        </w:rPr>
      </w:pPr>
      <w:r>
        <w:rPr>
          <w:rFonts w:hint="eastAsia"/>
          <w:lang w:eastAsia="zh-CN"/>
        </w:rPr>
        <w:t>支付理赔款时，相应扣除理赔管理费。</w:t>
      </w:r>
    </w:p>
    <w:p>
      <w:pPr>
        <w:numPr>
          <w:ilvl w:val="0"/>
          <w:numId w:val="6"/>
        </w:numPr>
        <w:ind w:left="1260" w:firstLineChars="0"/>
        <w:rPr>
          <w:rFonts w:hint="eastAsia"/>
          <w:color w:val="FF0000"/>
        </w:rPr>
      </w:pPr>
      <w:r>
        <w:rPr>
          <w:rFonts w:hint="eastAsia"/>
          <w:color w:val="FF0000"/>
          <w:highlight w:val="none"/>
          <w:lang w:eastAsia="zh-CN"/>
        </w:rPr>
        <w:t>扣除理赔管理费对应科目信息：借方，保户储金及投资款-理赔管理费</w:t>
      </w:r>
    </w:p>
    <w:p>
      <w:pPr>
        <w:numPr>
          <w:ilvl w:val="0"/>
          <w:numId w:val="10"/>
        </w:numPr>
        <w:ind w:left="360" w:leftChars="200" w:firstLine="0" w:firstLineChars="0"/>
        <w:rPr>
          <w:rFonts w:hint="eastAsia"/>
          <w:highlight w:val="none"/>
        </w:rPr>
      </w:pPr>
      <w:r>
        <w:rPr>
          <w:rFonts w:hint="eastAsia"/>
          <w:lang w:eastAsia="zh-CN"/>
        </w:rPr>
        <w:t>如客</w:t>
      </w:r>
      <w:r>
        <w:rPr>
          <w:rFonts w:hint="eastAsia"/>
          <w:highlight w:val="none"/>
          <w:lang w:eastAsia="zh-CN"/>
        </w:rPr>
        <w:t>户中途退出计划，我社首先收回已支付的服务费后，与剩余委托资金一并打回委托人账户。由委托人向客户支付。已收取的管理费不退还。</w:t>
      </w:r>
    </w:p>
    <w:p>
      <w:pPr>
        <w:numPr>
          <w:ilvl w:val="0"/>
          <w:numId w:val="6"/>
        </w:numPr>
        <w:ind w:left="1260" w:firstLineChars="0"/>
        <w:rPr>
          <w:rFonts w:hint="default"/>
          <w:color w:val="FF0000"/>
          <w:lang w:val="en-US"/>
        </w:rPr>
      </w:pPr>
      <w:r>
        <w:rPr>
          <w:rFonts w:hint="eastAsia"/>
          <w:color w:val="FF0000"/>
          <w:highlight w:val="none"/>
          <w:lang w:eastAsia="zh-CN"/>
        </w:rPr>
        <w:t>退回委托资金对应科目信息</w:t>
      </w:r>
      <w:r>
        <w:rPr>
          <w:rFonts w:hint="eastAsia"/>
          <w:color w:val="FF0000"/>
          <w:highlight w:val="none"/>
        </w:rPr>
        <w:t>：借方</w:t>
      </w:r>
      <w:r>
        <w:rPr>
          <w:rFonts w:hint="eastAsia"/>
          <w:color w:val="FF0000"/>
          <w:highlight w:val="none"/>
          <w:lang w:eastAsia="zh-CN"/>
        </w:rPr>
        <w:t>，</w:t>
      </w:r>
      <w:r>
        <w:rPr>
          <w:rFonts w:hint="eastAsia"/>
          <w:color w:val="FF0000"/>
          <w:highlight w:val="none"/>
        </w:rPr>
        <w:t>保户储金及投资款-</w:t>
      </w:r>
      <w:r>
        <w:rPr>
          <w:rFonts w:hint="eastAsia"/>
          <w:color w:val="FF0000"/>
          <w:highlight w:val="none"/>
          <w:lang w:eastAsia="zh-CN"/>
        </w:rPr>
        <w:t>退保金</w:t>
      </w:r>
    </w:p>
    <w:p>
      <w:pPr>
        <w:numPr>
          <w:ilvl w:val="0"/>
          <w:numId w:val="10"/>
        </w:numPr>
        <w:ind w:left="360" w:leftChars="200" w:firstLine="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如客户中途退出计划，将委托资金打回委托人账户时，相应扣除退保手续费。</w:t>
      </w:r>
    </w:p>
    <w:p>
      <w:pPr>
        <w:numPr>
          <w:ilvl w:val="0"/>
          <w:numId w:val="6"/>
        </w:numPr>
        <w:ind w:left="1260" w:firstLineChars="0"/>
        <w:rPr>
          <w:rFonts w:hint="eastAsia"/>
          <w:color w:val="FF0000"/>
          <w:highlight w:val="none"/>
        </w:rPr>
      </w:pPr>
      <w:r>
        <w:rPr>
          <w:rFonts w:hint="eastAsia"/>
          <w:color w:val="FF0000"/>
          <w:highlight w:val="none"/>
          <w:lang w:eastAsia="zh-CN"/>
        </w:rPr>
        <w:t>扣除退保手续费对应科目信息：借方，保户储金及投资款</w:t>
      </w:r>
      <w:r>
        <w:rPr>
          <w:rFonts w:hint="eastAsia"/>
          <w:color w:val="FF0000"/>
          <w:highlight w:val="none"/>
          <w:lang w:val="en-US" w:eastAsia="zh-CN"/>
        </w:rPr>
        <w:t>-退保费用</w:t>
      </w:r>
    </w:p>
    <w:p>
      <w:pPr>
        <w:numPr>
          <w:ilvl w:val="0"/>
          <w:numId w:val="10"/>
        </w:numPr>
        <w:ind w:left="360" w:leftChars="200" w:firstLine="0" w:firstLineChars="0"/>
        <w:rPr>
          <w:rFonts w:hint="eastAsia"/>
        </w:rPr>
      </w:pPr>
      <w:r>
        <w:rPr>
          <w:rFonts w:hint="eastAsia"/>
          <w:lang w:eastAsia="zh-CN"/>
        </w:rPr>
        <w:t>续期时，只要客户约定的保障期未到期，则相关客户均需转至下一年，仍以个人账户中的资金作为其委托资金</w:t>
      </w:r>
    </w:p>
    <w:p>
      <w:pPr>
        <w:numPr>
          <w:ilvl w:val="0"/>
          <w:numId w:val="6"/>
        </w:numPr>
        <w:ind w:left="1260" w:firstLineChars="0"/>
        <w:rPr>
          <w:rFonts w:hint="eastAsia"/>
          <w:color w:val="FF0000"/>
          <w:highlight w:val="none"/>
        </w:rPr>
      </w:pPr>
      <w:r>
        <w:rPr>
          <w:rFonts w:hint="eastAsia"/>
          <w:color w:val="FF0000"/>
          <w:highlight w:val="none"/>
          <w:lang w:eastAsia="zh-CN"/>
        </w:rPr>
        <w:t>收取存量结转管理费对应科目信息：借方，保户储金及投资款</w:t>
      </w:r>
      <w:r>
        <w:rPr>
          <w:rFonts w:hint="eastAsia"/>
          <w:color w:val="FF0000"/>
          <w:highlight w:val="none"/>
          <w:lang w:val="en-US" w:eastAsia="zh-CN"/>
        </w:rPr>
        <w:t>-存量结转管理费</w:t>
      </w:r>
    </w:p>
    <w:p>
      <w:pPr>
        <w:numPr>
          <w:ilvl w:val="0"/>
          <w:numId w:val="0"/>
        </w:numPr>
        <w:ind w:leftChars="200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</w:rPr>
      </w:pPr>
    </w:p>
    <w:p>
      <w:pPr>
        <w:numPr>
          <w:ilvl w:val="0"/>
          <w:numId w:val="0"/>
        </w:numPr>
        <w:rPr>
          <w:rFonts w:hint="default" w:eastAsia="微软雅黑"/>
          <w:color w:val="FF0000"/>
          <w:highlight w:val="none"/>
          <w:lang w:val="en-US" w:eastAsia="zh-CN"/>
        </w:rPr>
      </w:pPr>
    </w:p>
    <w:p>
      <w:pPr>
        <w:numPr>
          <w:ilvl w:val="255"/>
          <w:numId w:val="0"/>
        </w:numPr>
        <w:spacing w:line="360" w:lineRule="auto"/>
        <w:ind w:left="567" w:hanging="486" w:hangingChars="270"/>
        <w:jc w:val="left"/>
        <w:rPr>
          <w:rFonts w:hint="default" w:eastAsia="微软雅黑" w:cs="Tahoma" w:asciiTheme="minorEastAsia" w:hAnsiTheme="minorEastAsia"/>
          <w:color w:val="333333"/>
          <w:szCs w:val="21"/>
          <w:shd w:val="clear" w:color="auto" w:fill="FFFFFF"/>
          <w:lang w:val="en-US" w:eastAsia="zh-CN"/>
        </w:rPr>
      </w:pPr>
      <w:r>
        <w:rPr>
          <w:rFonts w:hint="eastAsia" w:cs="Tahoma" w:asciiTheme="minorEastAsia" w:hAnsiTheme="minorEastAsia"/>
          <w:color w:val="333333"/>
          <w:szCs w:val="21"/>
          <w:shd w:val="clear" w:color="auto" w:fill="FFFFFF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default" w:cs="Tahoma" w:asciiTheme="minorEastAsia" w:hAnsiTheme="minorEastAsia"/>
          <w:color w:val="333333"/>
          <w:szCs w:val="21"/>
          <w:shd w:val="clear" w:color="auto" w:fill="FFFFFF"/>
          <w:lang w:val="en-US" w:eastAsia="zh-CN"/>
        </w:rPr>
      </w:pPr>
    </w:p>
    <w:p>
      <w:pPr>
        <w:rPr>
          <w:rFonts w:hint="eastAsia" w:eastAsia="微软雅黑"/>
          <w:lang w:eastAsia="zh-CN"/>
        </w:rPr>
      </w:pPr>
      <w:bookmarkStart w:id="0" w:name="_MON_1656486471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118286"/>
    <w:multiLevelType w:val="singleLevel"/>
    <w:tmpl w:val="8311828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2D8377E"/>
    <w:multiLevelType w:val="singleLevel"/>
    <w:tmpl w:val="92D8377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9E6CA947"/>
    <w:multiLevelType w:val="singleLevel"/>
    <w:tmpl w:val="9E6CA94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CEC76F9F"/>
    <w:multiLevelType w:val="singleLevel"/>
    <w:tmpl w:val="CEC76F9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  <w:lang w:val="en-US"/>
      </w:rPr>
    </w:lvl>
  </w:abstractNum>
  <w:abstractNum w:abstractNumId="4">
    <w:nsid w:val="E50C58CA"/>
    <w:multiLevelType w:val="singleLevel"/>
    <w:tmpl w:val="E50C58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2C725CA0"/>
    <w:multiLevelType w:val="singleLevel"/>
    <w:tmpl w:val="2C725CA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320D5AA1"/>
    <w:multiLevelType w:val="multilevel"/>
    <w:tmpl w:val="320D5AA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5493DE3"/>
    <w:multiLevelType w:val="multilevel"/>
    <w:tmpl w:val="45493DE3"/>
    <w:lvl w:ilvl="0" w:tentative="0">
      <w:start w:val="1"/>
      <w:numFmt w:val="bullet"/>
      <w:pStyle w:val="47"/>
      <w:lvlText w:val="•"/>
      <w:lvlJc w:val="left"/>
      <w:pPr>
        <w:tabs>
          <w:tab w:val="left" w:pos="0"/>
        </w:tabs>
        <w:ind w:left="360" w:hanging="360"/>
      </w:pPr>
      <w:rPr>
        <w:rFonts w:hint="default" w:ascii="Arial" w:hAnsi="Aria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>
    <w:nsid w:val="5F62072C"/>
    <w:multiLevelType w:val="multilevel"/>
    <w:tmpl w:val="5F62072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FB2777"/>
    <w:multiLevelType w:val="singleLevel"/>
    <w:tmpl w:val="62FB277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14"/>
    <w:rsid w:val="00005951"/>
    <w:rsid w:val="000101F3"/>
    <w:rsid w:val="000134B9"/>
    <w:rsid w:val="00014C4C"/>
    <w:rsid w:val="00022459"/>
    <w:rsid w:val="00022884"/>
    <w:rsid w:val="00024F6E"/>
    <w:rsid w:val="00026553"/>
    <w:rsid w:val="00057114"/>
    <w:rsid w:val="00075AAA"/>
    <w:rsid w:val="00082E5A"/>
    <w:rsid w:val="000871F3"/>
    <w:rsid w:val="00090DFD"/>
    <w:rsid w:val="000921E4"/>
    <w:rsid w:val="000B06B4"/>
    <w:rsid w:val="000B57B1"/>
    <w:rsid w:val="000C0BF4"/>
    <w:rsid w:val="000C4827"/>
    <w:rsid w:val="000C6371"/>
    <w:rsid w:val="000D46DA"/>
    <w:rsid w:val="000D5D77"/>
    <w:rsid w:val="000E7058"/>
    <w:rsid w:val="000F15A3"/>
    <w:rsid w:val="000F191E"/>
    <w:rsid w:val="0010322E"/>
    <w:rsid w:val="00115C0E"/>
    <w:rsid w:val="00122098"/>
    <w:rsid w:val="00125B71"/>
    <w:rsid w:val="00127A1D"/>
    <w:rsid w:val="00140441"/>
    <w:rsid w:val="0014271B"/>
    <w:rsid w:val="00145A83"/>
    <w:rsid w:val="0015758A"/>
    <w:rsid w:val="00160066"/>
    <w:rsid w:val="00160FD6"/>
    <w:rsid w:val="00163375"/>
    <w:rsid w:val="001747CF"/>
    <w:rsid w:val="00187C39"/>
    <w:rsid w:val="001960F0"/>
    <w:rsid w:val="001A25DD"/>
    <w:rsid w:val="001B1A00"/>
    <w:rsid w:val="001B44AA"/>
    <w:rsid w:val="001C377B"/>
    <w:rsid w:val="001C5D91"/>
    <w:rsid w:val="001F39A9"/>
    <w:rsid w:val="001F3D8A"/>
    <w:rsid w:val="001F5EC8"/>
    <w:rsid w:val="002004A7"/>
    <w:rsid w:val="00203215"/>
    <w:rsid w:val="0020604A"/>
    <w:rsid w:val="00206CEC"/>
    <w:rsid w:val="00213FE3"/>
    <w:rsid w:val="00216C16"/>
    <w:rsid w:val="00220DAB"/>
    <w:rsid w:val="00220FDA"/>
    <w:rsid w:val="002356A1"/>
    <w:rsid w:val="00245A4F"/>
    <w:rsid w:val="00251821"/>
    <w:rsid w:val="0025227C"/>
    <w:rsid w:val="00265298"/>
    <w:rsid w:val="0027482F"/>
    <w:rsid w:val="0027490D"/>
    <w:rsid w:val="002914F3"/>
    <w:rsid w:val="00295C8B"/>
    <w:rsid w:val="002A0955"/>
    <w:rsid w:val="002A3476"/>
    <w:rsid w:val="002A4F37"/>
    <w:rsid w:val="002A775D"/>
    <w:rsid w:val="002B291C"/>
    <w:rsid w:val="002B3EFD"/>
    <w:rsid w:val="002C718E"/>
    <w:rsid w:val="002C77E7"/>
    <w:rsid w:val="002D24C5"/>
    <w:rsid w:val="002D49EE"/>
    <w:rsid w:val="002D7E7B"/>
    <w:rsid w:val="002E0617"/>
    <w:rsid w:val="002F0D57"/>
    <w:rsid w:val="002F2C9C"/>
    <w:rsid w:val="00300BFE"/>
    <w:rsid w:val="00303EA0"/>
    <w:rsid w:val="00311AD8"/>
    <w:rsid w:val="003127FC"/>
    <w:rsid w:val="00312FFF"/>
    <w:rsid w:val="00313D7F"/>
    <w:rsid w:val="003264FF"/>
    <w:rsid w:val="00331500"/>
    <w:rsid w:val="00331CB2"/>
    <w:rsid w:val="00334AD5"/>
    <w:rsid w:val="003373E7"/>
    <w:rsid w:val="003423F8"/>
    <w:rsid w:val="00343C1B"/>
    <w:rsid w:val="0034754E"/>
    <w:rsid w:val="00350638"/>
    <w:rsid w:val="0035512B"/>
    <w:rsid w:val="00360FA2"/>
    <w:rsid w:val="00362372"/>
    <w:rsid w:val="00364A58"/>
    <w:rsid w:val="003653D9"/>
    <w:rsid w:val="00385003"/>
    <w:rsid w:val="00385717"/>
    <w:rsid w:val="00391201"/>
    <w:rsid w:val="003917E9"/>
    <w:rsid w:val="003A0149"/>
    <w:rsid w:val="003A16CF"/>
    <w:rsid w:val="003A371B"/>
    <w:rsid w:val="003A3C5C"/>
    <w:rsid w:val="003A4B53"/>
    <w:rsid w:val="003B5CDE"/>
    <w:rsid w:val="003C0ED3"/>
    <w:rsid w:val="003C12D3"/>
    <w:rsid w:val="003C1422"/>
    <w:rsid w:val="003C2257"/>
    <w:rsid w:val="003C5425"/>
    <w:rsid w:val="003D7D9C"/>
    <w:rsid w:val="003E1251"/>
    <w:rsid w:val="003E665A"/>
    <w:rsid w:val="003E6674"/>
    <w:rsid w:val="003F16E9"/>
    <w:rsid w:val="003F3A52"/>
    <w:rsid w:val="003F3F49"/>
    <w:rsid w:val="0042163E"/>
    <w:rsid w:val="004249C9"/>
    <w:rsid w:val="004259EE"/>
    <w:rsid w:val="00425FC6"/>
    <w:rsid w:val="0043437A"/>
    <w:rsid w:val="0043439E"/>
    <w:rsid w:val="004376C1"/>
    <w:rsid w:val="00443CBF"/>
    <w:rsid w:val="00452C90"/>
    <w:rsid w:val="0045363A"/>
    <w:rsid w:val="00466ED8"/>
    <w:rsid w:val="0047724E"/>
    <w:rsid w:val="00481AA1"/>
    <w:rsid w:val="004822F0"/>
    <w:rsid w:val="00485209"/>
    <w:rsid w:val="004959D7"/>
    <w:rsid w:val="004A28F6"/>
    <w:rsid w:val="004A4529"/>
    <w:rsid w:val="004A4708"/>
    <w:rsid w:val="004A615E"/>
    <w:rsid w:val="004A75DF"/>
    <w:rsid w:val="004B1C88"/>
    <w:rsid w:val="004B2D41"/>
    <w:rsid w:val="004C7152"/>
    <w:rsid w:val="004D1ACF"/>
    <w:rsid w:val="004D6F4A"/>
    <w:rsid w:val="004E1614"/>
    <w:rsid w:val="004E2918"/>
    <w:rsid w:val="004E506D"/>
    <w:rsid w:val="004F2040"/>
    <w:rsid w:val="005046D3"/>
    <w:rsid w:val="00505800"/>
    <w:rsid w:val="005208E3"/>
    <w:rsid w:val="005230D9"/>
    <w:rsid w:val="00524EA5"/>
    <w:rsid w:val="00526F43"/>
    <w:rsid w:val="00527BE4"/>
    <w:rsid w:val="00530577"/>
    <w:rsid w:val="005368D1"/>
    <w:rsid w:val="00536AA7"/>
    <w:rsid w:val="00543E27"/>
    <w:rsid w:val="005451F6"/>
    <w:rsid w:val="00546060"/>
    <w:rsid w:val="005543B7"/>
    <w:rsid w:val="00561496"/>
    <w:rsid w:val="0056454A"/>
    <w:rsid w:val="0057411E"/>
    <w:rsid w:val="00574702"/>
    <w:rsid w:val="00576C48"/>
    <w:rsid w:val="00577459"/>
    <w:rsid w:val="00582E18"/>
    <w:rsid w:val="00586046"/>
    <w:rsid w:val="005912D9"/>
    <w:rsid w:val="005978D1"/>
    <w:rsid w:val="005A0E93"/>
    <w:rsid w:val="005A4CA9"/>
    <w:rsid w:val="005B109D"/>
    <w:rsid w:val="005B701F"/>
    <w:rsid w:val="005C072A"/>
    <w:rsid w:val="005C2E34"/>
    <w:rsid w:val="005D036B"/>
    <w:rsid w:val="005D59EB"/>
    <w:rsid w:val="00600562"/>
    <w:rsid w:val="006026E5"/>
    <w:rsid w:val="0062279F"/>
    <w:rsid w:val="006245A7"/>
    <w:rsid w:val="00641C1A"/>
    <w:rsid w:val="006433EA"/>
    <w:rsid w:val="00643D39"/>
    <w:rsid w:val="0065189F"/>
    <w:rsid w:val="0065205B"/>
    <w:rsid w:val="0065450A"/>
    <w:rsid w:val="006623A5"/>
    <w:rsid w:val="00663EE3"/>
    <w:rsid w:val="00665444"/>
    <w:rsid w:val="00670776"/>
    <w:rsid w:val="00672947"/>
    <w:rsid w:val="006742FD"/>
    <w:rsid w:val="0068146D"/>
    <w:rsid w:val="006834C8"/>
    <w:rsid w:val="0068651D"/>
    <w:rsid w:val="006874A0"/>
    <w:rsid w:val="0069037A"/>
    <w:rsid w:val="00690D22"/>
    <w:rsid w:val="00692B1C"/>
    <w:rsid w:val="006A4FB0"/>
    <w:rsid w:val="006A7AB8"/>
    <w:rsid w:val="006B497B"/>
    <w:rsid w:val="006C21A3"/>
    <w:rsid w:val="006C35FC"/>
    <w:rsid w:val="006D4290"/>
    <w:rsid w:val="006D53BA"/>
    <w:rsid w:val="006E40ED"/>
    <w:rsid w:val="006F1D0E"/>
    <w:rsid w:val="006F291B"/>
    <w:rsid w:val="007050F1"/>
    <w:rsid w:val="00711E7A"/>
    <w:rsid w:val="00714D78"/>
    <w:rsid w:val="00726533"/>
    <w:rsid w:val="00733152"/>
    <w:rsid w:val="00741133"/>
    <w:rsid w:val="00743B05"/>
    <w:rsid w:val="00747E33"/>
    <w:rsid w:val="0075354B"/>
    <w:rsid w:val="00753F47"/>
    <w:rsid w:val="00764357"/>
    <w:rsid w:val="0076796C"/>
    <w:rsid w:val="007724E5"/>
    <w:rsid w:val="00776C4F"/>
    <w:rsid w:val="007865DC"/>
    <w:rsid w:val="007909C4"/>
    <w:rsid w:val="007A13E0"/>
    <w:rsid w:val="007B4D5B"/>
    <w:rsid w:val="007B4E28"/>
    <w:rsid w:val="007C562E"/>
    <w:rsid w:val="007C7883"/>
    <w:rsid w:val="007E3642"/>
    <w:rsid w:val="007E60E0"/>
    <w:rsid w:val="007F5DDB"/>
    <w:rsid w:val="007F6AB6"/>
    <w:rsid w:val="00801BE7"/>
    <w:rsid w:val="008038D4"/>
    <w:rsid w:val="00806816"/>
    <w:rsid w:val="00807720"/>
    <w:rsid w:val="00810F4A"/>
    <w:rsid w:val="00816A83"/>
    <w:rsid w:val="008235B1"/>
    <w:rsid w:val="00833047"/>
    <w:rsid w:val="008346B1"/>
    <w:rsid w:val="008403F7"/>
    <w:rsid w:val="00841A5B"/>
    <w:rsid w:val="008529F1"/>
    <w:rsid w:val="0086201E"/>
    <w:rsid w:val="0086682F"/>
    <w:rsid w:val="00867482"/>
    <w:rsid w:val="008720A9"/>
    <w:rsid w:val="00883B3E"/>
    <w:rsid w:val="008861D6"/>
    <w:rsid w:val="008971FC"/>
    <w:rsid w:val="008A6E0C"/>
    <w:rsid w:val="008B1E2B"/>
    <w:rsid w:val="008B21F3"/>
    <w:rsid w:val="008B48AB"/>
    <w:rsid w:val="008B5BF0"/>
    <w:rsid w:val="008B60BA"/>
    <w:rsid w:val="008C1EF5"/>
    <w:rsid w:val="008D6AD0"/>
    <w:rsid w:val="008E12AE"/>
    <w:rsid w:val="008E763E"/>
    <w:rsid w:val="008F0FB3"/>
    <w:rsid w:val="008F4994"/>
    <w:rsid w:val="009048D8"/>
    <w:rsid w:val="009155D6"/>
    <w:rsid w:val="00917150"/>
    <w:rsid w:val="00925099"/>
    <w:rsid w:val="0093264E"/>
    <w:rsid w:val="009523CA"/>
    <w:rsid w:val="00952916"/>
    <w:rsid w:val="00955531"/>
    <w:rsid w:val="00963F66"/>
    <w:rsid w:val="0096680B"/>
    <w:rsid w:val="00967558"/>
    <w:rsid w:val="009775C5"/>
    <w:rsid w:val="00984104"/>
    <w:rsid w:val="0098460C"/>
    <w:rsid w:val="00991608"/>
    <w:rsid w:val="009A6921"/>
    <w:rsid w:val="009B114B"/>
    <w:rsid w:val="009C0975"/>
    <w:rsid w:val="009D7333"/>
    <w:rsid w:val="009F282B"/>
    <w:rsid w:val="00A004C7"/>
    <w:rsid w:val="00A00D0A"/>
    <w:rsid w:val="00A0499C"/>
    <w:rsid w:val="00A07B6D"/>
    <w:rsid w:val="00A11B8A"/>
    <w:rsid w:val="00A20396"/>
    <w:rsid w:val="00A235F0"/>
    <w:rsid w:val="00A26A25"/>
    <w:rsid w:val="00A31A41"/>
    <w:rsid w:val="00A323BB"/>
    <w:rsid w:val="00A32F58"/>
    <w:rsid w:val="00A3329A"/>
    <w:rsid w:val="00A3493B"/>
    <w:rsid w:val="00A36460"/>
    <w:rsid w:val="00A51152"/>
    <w:rsid w:val="00A530C2"/>
    <w:rsid w:val="00A613E0"/>
    <w:rsid w:val="00A6558F"/>
    <w:rsid w:val="00A70B67"/>
    <w:rsid w:val="00A71692"/>
    <w:rsid w:val="00A71BA6"/>
    <w:rsid w:val="00A7733A"/>
    <w:rsid w:val="00A81306"/>
    <w:rsid w:val="00A841E5"/>
    <w:rsid w:val="00A858EC"/>
    <w:rsid w:val="00A87CC2"/>
    <w:rsid w:val="00A919AC"/>
    <w:rsid w:val="00A9293B"/>
    <w:rsid w:val="00A949A0"/>
    <w:rsid w:val="00AA07ED"/>
    <w:rsid w:val="00AA20BB"/>
    <w:rsid w:val="00AB1EFF"/>
    <w:rsid w:val="00AB6372"/>
    <w:rsid w:val="00AC158B"/>
    <w:rsid w:val="00AD21BA"/>
    <w:rsid w:val="00AD6807"/>
    <w:rsid w:val="00AD6B5B"/>
    <w:rsid w:val="00AE7800"/>
    <w:rsid w:val="00B00F1B"/>
    <w:rsid w:val="00B04A9C"/>
    <w:rsid w:val="00B05522"/>
    <w:rsid w:val="00B07882"/>
    <w:rsid w:val="00B153FF"/>
    <w:rsid w:val="00B21AFD"/>
    <w:rsid w:val="00B21D28"/>
    <w:rsid w:val="00B3100A"/>
    <w:rsid w:val="00B33987"/>
    <w:rsid w:val="00B362F7"/>
    <w:rsid w:val="00B446FA"/>
    <w:rsid w:val="00B50F5B"/>
    <w:rsid w:val="00B55566"/>
    <w:rsid w:val="00B55AC5"/>
    <w:rsid w:val="00B56D1C"/>
    <w:rsid w:val="00B71EC4"/>
    <w:rsid w:val="00B846C0"/>
    <w:rsid w:val="00B85A08"/>
    <w:rsid w:val="00B85A35"/>
    <w:rsid w:val="00B86492"/>
    <w:rsid w:val="00B95E11"/>
    <w:rsid w:val="00BB6252"/>
    <w:rsid w:val="00BC2396"/>
    <w:rsid w:val="00BC4910"/>
    <w:rsid w:val="00BC7C01"/>
    <w:rsid w:val="00BE0403"/>
    <w:rsid w:val="00BE4EB5"/>
    <w:rsid w:val="00BF36DD"/>
    <w:rsid w:val="00BF44BA"/>
    <w:rsid w:val="00C00D0A"/>
    <w:rsid w:val="00C10A3E"/>
    <w:rsid w:val="00C13DD1"/>
    <w:rsid w:val="00C1746A"/>
    <w:rsid w:val="00C20942"/>
    <w:rsid w:val="00C20D94"/>
    <w:rsid w:val="00C275BF"/>
    <w:rsid w:val="00C3181E"/>
    <w:rsid w:val="00C31A4E"/>
    <w:rsid w:val="00C3622A"/>
    <w:rsid w:val="00C40352"/>
    <w:rsid w:val="00C42FC9"/>
    <w:rsid w:val="00C442DB"/>
    <w:rsid w:val="00C55698"/>
    <w:rsid w:val="00C5790D"/>
    <w:rsid w:val="00C62068"/>
    <w:rsid w:val="00C6652E"/>
    <w:rsid w:val="00C70C18"/>
    <w:rsid w:val="00C805CE"/>
    <w:rsid w:val="00C80DD4"/>
    <w:rsid w:val="00C833EC"/>
    <w:rsid w:val="00C84035"/>
    <w:rsid w:val="00C937A3"/>
    <w:rsid w:val="00C97FC8"/>
    <w:rsid w:val="00CA25C2"/>
    <w:rsid w:val="00CA6F76"/>
    <w:rsid w:val="00CB19F0"/>
    <w:rsid w:val="00CB2221"/>
    <w:rsid w:val="00CB4206"/>
    <w:rsid w:val="00CB6716"/>
    <w:rsid w:val="00CB6A9E"/>
    <w:rsid w:val="00CB6FBB"/>
    <w:rsid w:val="00CC65FA"/>
    <w:rsid w:val="00CC6643"/>
    <w:rsid w:val="00CD37D2"/>
    <w:rsid w:val="00CD67F2"/>
    <w:rsid w:val="00CD73F1"/>
    <w:rsid w:val="00CE3D62"/>
    <w:rsid w:val="00CE57A0"/>
    <w:rsid w:val="00D01803"/>
    <w:rsid w:val="00D06EA0"/>
    <w:rsid w:val="00D109C1"/>
    <w:rsid w:val="00D25C23"/>
    <w:rsid w:val="00D26A4A"/>
    <w:rsid w:val="00D2708E"/>
    <w:rsid w:val="00D27984"/>
    <w:rsid w:val="00D27B13"/>
    <w:rsid w:val="00D31966"/>
    <w:rsid w:val="00D3244B"/>
    <w:rsid w:val="00D404F1"/>
    <w:rsid w:val="00D54EA1"/>
    <w:rsid w:val="00D55E57"/>
    <w:rsid w:val="00D63A76"/>
    <w:rsid w:val="00D65D63"/>
    <w:rsid w:val="00D66875"/>
    <w:rsid w:val="00D6739B"/>
    <w:rsid w:val="00D67EE5"/>
    <w:rsid w:val="00D70A32"/>
    <w:rsid w:val="00D7184D"/>
    <w:rsid w:val="00D71FF6"/>
    <w:rsid w:val="00D73932"/>
    <w:rsid w:val="00D809AA"/>
    <w:rsid w:val="00D86DC5"/>
    <w:rsid w:val="00D91438"/>
    <w:rsid w:val="00D96669"/>
    <w:rsid w:val="00DA0807"/>
    <w:rsid w:val="00DB5A0D"/>
    <w:rsid w:val="00DC1689"/>
    <w:rsid w:val="00DC3408"/>
    <w:rsid w:val="00DC396B"/>
    <w:rsid w:val="00DC5275"/>
    <w:rsid w:val="00DD0433"/>
    <w:rsid w:val="00DD4CC3"/>
    <w:rsid w:val="00DE0293"/>
    <w:rsid w:val="00DF0463"/>
    <w:rsid w:val="00DF1D3E"/>
    <w:rsid w:val="00E060B7"/>
    <w:rsid w:val="00E168AB"/>
    <w:rsid w:val="00E22100"/>
    <w:rsid w:val="00E252F3"/>
    <w:rsid w:val="00E333ED"/>
    <w:rsid w:val="00E36E5C"/>
    <w:rsid w:val="00E465C6"/>
    <w:rsid w:val="00E50482"/>
    <w:rsid w:val="00E54BF8"/>
    <w:rsid w:val="00E550A4"/>
    <w:rsid w:val="00E621D8"/>
    <w:rsid w:val="00E6282B"/>
    <w:rsid w:val="00E649C0"/>
    <w:rsid w:val="00E7260E"/>
    <w:rsid w:val="00E74FAC"/>
    <w:rsid w:val="00E84DA6"/>
    <w:rsid w:val="00E91586"/>
    <w:rsid w:val="00E92540"/>
    <w:rsid w:val="00E92C27"/>
    <w:rsid w:val="00E93101"/>
    <w:rsid w:val="00E96890"/>
    <w:rsid w:val="00E977FD"/>
    <w:rsid w:val="00EA142B"/>
    <w:rsid w:val="00EA2258"/>
    <w:rsid w:val="00EA5749"/>
    <w:rsid w:val="00EC2920"/>
    <w:rsid w:val="00ED102F"/>
    <w:rsid w:val="00ED1BF5"/>
    <w:rsid w:val="00ED1D75"/>
    <w:rsid w:val="00ED1E90"/>
    <w:rsid w:val="00ED2AFF"/>
    <w:rsid w:val="00EE0585"/>
    <w:rsid w:val="00EF3254"/>
    <w:rsid w:val="00EF367D"/>
    <w:rsid w:val="00EF60AA"/>
    <w:rsid w:val="00F02310"/>
    <w:rsid w:val="00F06064"/>
    <w:rsid w:val="00F10089"/>
    <w:rsid w:val="00F14801"/>
    <w:rsid w:val="00F4006A"/>
    <w:rsid w:val="00F43084"/>
    <w:rsid w:val="00F447E6"/>
    <w:rsid w:val="00F52D04"/>
    <w:rsid w:val="00F621FC"/>
    <w:rsid w:val="00F631B0"/>
    <w:rsid w:val="00F73FC6"/>
    <w:rsid w:val="00F748F0"/>
    <w:rsid w:val="00F76EAF"/>
    <w:rsid w:val="00F95D35"/>
    <w:rsid w:val="00FA4C42"/>
    <w:rsid w:val="00FB1571"/>
    <w:rsid w:val="00FC0BCE"/>
    <w:rsid w:val="00FD2A3A"/>
    <w:rsid w:val="00FD481C"/>
    <w:rsid w:val="00FE2908"/>
    <w:rsid w:val="00FE36FC"/>
    <w:rsid w:val="00FE39D1"/>
    <w:rsid w:val="00FE5E16"/>
    <w:rsid w:val="00FF5BC5"/>
    <w:rsid w:val="012D2344"/>
    <w:rsid w:val="014C6D08"/>
    <w:rsid w:val="029F7ADE"/>
    <w:rsid w:val="02E67168"/>
    <w:rsid w:val="03F257C5"/>
    <w:rsid w:val="058729BF"/>
    <w:rsid w:val="05BE453D"/>
    <w:rsid w:val="06544F00"/>
    <w:rsid w:val="06656926"/>
    <w:rsid w:val="068725BF"/>
    <w:rsid w:val="06DC14B4"/>
    <w:rsid w:val="07261DF3"/>
    <w:rsid w:val="076E2AFF"/>
    <w:rsid w:val="07E85F56"/>
    <w:rsid w:val="081602AB"/>
    <w:rsid w:val="08467508"/>
    <w:rsid w:val="0AC00F9E"/>
    <w:rsid w:val="0B7E2985"/>
    <w:rsid w:val="0BC509A1"/>
    <w:rsid w:val="0D06306D"/>
    <w:rsid w:val="0D8F6C1A"/>
    <w:rsid w:val="0E3A35A7"/>
    <w:rsid w:val="0E403417"/>
    <w:rsid w:val="0FC4665D"/>
    <w:rsid w:val="11744B0B"/>
    <w:rsid w:val="118B7E73"/>
    <w:rsid w:val="11C41320"/>
    <w:rsid w:val="12207EC9"/>
    <w:rsid w:val="135857B9"/>
    <w:rsid w:val="136E725E"/>
    <w:rsid w:val="140C2DAA"/>
    <w:rsid w:val="14245E11"/>
    <w:rsid w:val="146B25AD"/>
    <w:rsid w:val="160B783E"/>
    <w:rsid w:val="19E5312F"/>
    <w:rsid w:val="1A3F3188"/>
    <w:rsid w:val="1A435E79"/>
    <w:rsid w:val="1C076ECB"/>
    <w:rsid w:val="1D0A536A"/>
    <w:rsid w:val="1EB86675"/>
    <w:rsid w:val="1F6A213E"/>
    <w:rsid w:val="1F6B4ACD"/>
    <w:rsid w:val="200E07E2"/>
    <w:rsid w:val="201C5F3C"/>
    <w:rsid w:val="2132578C"/>
    <w:rsid w:val="218A3568"/>
    <w:rsid w:val="21923142"/>
    <w:rsid w:val="21A90158"/>
    <w:rsid w:val="22003C83"/>
    <w:rsid w:val="23CD37F9"/>
    <w:rsid w:val="242E30E2"/>
    <w:rsid w:val="248B6E8D"/>
    <w:rsid w:val="262C08E8"/>
    <w:rsid w:val="26347973"/>
    <w:rsid w:val="26DB46C4"/>
    <w:rsid w:val="27BF4100"/>
    <w:rsid w:val="28EF1479"/>
    <w:rsid w:val="2B022ECB"/>
    <w:rsid w:val="2B646897"/>
    <w:rsid w:val="2EBA06B3"/>
    <w:rsid w:val="2F560AD0"/>
    <w:rsid w:val="304E77FB"/>
    <w:rsid w:val="30C235DB"/>
    <w:rsid w:val="329242FB"/>
    <w:rsid w:val="32CF375A"/>
    <w:rsid w:val="33B04023"/>
    <w:rsid w:val="343057DA"/>
    <w:rsid w:val="36A35D8B"/>
    <w:rsid w:val="370A3322"/>
    <w:rsid w:val="37AE3F59"/>
    <w:rsid w:val="3B305238"/>
    <w:rsid w:val="3B496783"/>
    <w:rsid w:val="3BFF2AD4"/>
    <w:rsid w:val="3C522681"/>
    <w:rsid w:val="3C9B2E06"/>
    <w:rsid w:val="3DDA3ED8"/>
    <w:rsid w:val="3E084545"/>
    <w:rsid w:val="3EFD086D"/>
    <w:rsid w:val="3F573C36"/>
    <w:rsid w:val="3FB40E3D"/>
    <w:rsid w:val="400C59E0"/>
    <w:rsid w:val="41BE290F"/>
    <w:rsid w:val="41FA242B"/>
    <w:rsid w:val="42160F28"/>
    <w:rsid w:val="42807632"/>
    <w:rsid w:val="42F13D29"/>
    <w:rsid w:val="434B7D79"/>
    <w:rsid w:val="45466529"/>
    <w:rsid w:val="473426B2"/>
    <w:rsid w:val="492D1B3F"/>
    <w:rsid w:val="4ADE0D62"/>
    <w:rsid w:val="4B5F34F4"/>
    <w:rsid w:val="4C7353C6"/>
    <w:rsid w:val="4CDC630A"/>
    <w:rsid w:val="4CEC783C"/>
    <w:rsid w:val="4E890DAA"/>
    <w:rsid w:val="4EBE27D8"/>
    <w:rsid w:val="4F6C756A"/>
    <w:rsid w:val="50DF0CD1"/>
    <w:rsid w:val="50FC024F"/>
    <w:rsid w:val="522B59DE"/>
    <w:rsid w:val="530645C0"/>
    <w:rsid w:val="55D37C5F"/>
    <w:rsid w:val="571A3FD6"/>
    <w:rsid w:val="5734168D"/>
    <w:rsid w:val="58E4018E"/>
    <w:rsid w:val="59067C12"/>
    <w:rsid w:val="59643B04"/>
    <w:rsid w:val="5A0D10BA"/>
    <w:rsid w:val="5A1423B8"/>
    <w:rsid w:val="5A1B266F"/>
    <w:rsid w:val="5B4E1A0F"/>
    <w:rsid w:val="5B833652"/>
    <w:rsid w:val="5C403F9B"/>
    <w:rsid w:val="5C8D773B"/>
    <w:rsid w:val="5D306481"/>
    <w:rsid w:val="5D4C788D"/>
    <w:rsid w:val="5DD00692"/>
    <w:rsid w:val="5F404518"/>
    <w:rsid w:val="62440AD3"/>
    <w:rsid w:val="62EC2439"/>
    <w:rsid w:val="63762F4E"/>
    <w:rsid w:val="646873E2"/>
    <w:rsid w:val="649B5E01"/>
    <w:rsid w:val="64F243CE"/>
    <w:rsid w:val="67E06A2A"/>
    <w:rsid w:val="68D9072C"/>
    <w:rsid w:val="6A607638"/>
    <w:rsid w:val="6A856A8D"/>
    <w:rsid w:val="6B3B2CD0"/>
    <w:rsid w:val="6C68562F"/>
    <w:rsid w:val="6CEB0A6D"/>
    <w:rsid w:val="6DA44995"/>
    <w:rsid w:val="6E34593C"/>
    <w:rsid w:val="6E405B41"/>
    <w:rsid w:val="6E7D618F"/>
    <w:rsid w:val="718B17E9"/>
    <w:rsid w:val="72152E37"/>
    <w:rsid w:val="7298382C"/>
    <w:rsid w:val="72D314B2"/>
    <w:rsid w:val="73EF059D"/>
    <w:rsid w:val="758A19E6"/>
    <w:rsid w:val="76C372BB"/>
    <w:rsid w:val="771C6535"/>
    <w:rsid w:val="78443CD9"/>
    <w:rsid w:val="7883048B"/>
    <w:rsid w:val="79220482"/>
    <w:rsid w:val="7A1C5C20"/>
    <w:rsid w:val="7B9B06A9"/>
    <w:rsid w:val="7C6E05F1"/>
    <w:rsid w:val="7E814A20"/>
    <w:rsid w:val="7E964750"/>
    <w:rsid w:val="7EA42AB5"/>
    <w:rsid w:val="7F0E5FED"/>
    <w:rsid w:val="7F2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1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ind w:firstLine="0" w:firstLineChars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7" w:lineRule="auto"/>
      <w:ind w:firstLine="350" w:firstLineChars="350"/>
      <w:outlineLvl w:val="3"/>
    </w:pPr>
    <w:rPr>
      <w:rFonts w:eastAsia="黑体" w:asciiTheme="majorHAnsi" w:hAnsiTheme="majorHAnsi" w:cstheme="majorBidi"/>
      <w:b/>
      <w:bCs/>
      <w:sz w:val="21"/>
      <w:szCs w:val="28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1080"/>
      <w:jc w:val="left"/>
    </w:pPr>
    <w:rPr>
      <w:szCs w:val="18"/>
    </w:rPr>
  </w:style>
  <w:style w:type="paragraph" w:styleId="7">
    <w:name w:val="annotation text"/>
    <w:basedOn w:val="1"/>
    <w:link w:val="41"/>
    <w:semiHidden/>
    <w:unhideWhenUsed/>
    <w:qFormat/>
    <w:uiPriority w:val="99"/>
    <w:pPr>
      <w:jc w:val="left"/>
    </w:pPr>
  </w:style>
  <w:style w:type="paragraph" w:styleId="8">
    <w:name w:val="toc 5"/>
    <w:basedOn w:val="1"/>
    <w:next w:val="1"/>
    <w:unhideWhenUsed/>
    <w:qFormat/>
    <w:uiPriority w:val="39"/>
    <w:pPr>
      <w:ind w:left="720"/>
      <w:jc w:val="left"/>
    </w:pPr>
    <w:rPr>
      <w:szCs w:val="18"/>
    </w:rPr>
  </w:style>
  <w:style w:type="paragraph" w:styleId="9">
    <w:name w:val="toc 3"/>
    <w:basedOn w:val="1"/>
    <w:next w:val="1"/>
    <w:unhideWhenUsed/>
    <w:qFormat/>
    <w:uiPriority w:val="39"/>
    <w:pPr>
      <w:ind w:left="360"/>
      <w:jc w:val="left"/>
    </w:pPr>
    <w:rPr>
      <w:i/>
      <w:iCs/>
      <w:sz w:val="20"/>
      <w:szCs w:val="20"/>
    </w:rPr>
  </w:style>
  <w:style w:type="paragraph" w:styleId="10">
    <w:name w:val="toc 8"/>
    <w:basedOn w:val="1"/>
    <w:next w:val="1"/>
    <w:unhideWhenUsed/>
    <w:qFormat/>
    <w:uiPriority w:val="39"/>
    <w:pPr>
      <w:ind w:left="1260"/>
      <w:jc w:val="left"/>
    </w:pPr>
    <w:rPr>
      <w:szCs w:val="18"/>
    </w:rPr>
  </w:style>
  <w:style w:type="paragraph" w:styleId="11">
    <w:name w:val="Date"/>
    <w:basedOn w:val="1"/>
    <w:next w:val="1"/>
    <w:link w:val="31"/>
    <w:semiHidden/>
    <w:unhideWhenUsed/>
    <w:qFormat/>
    <w:uiPriority w:val="99"/>
    <w:pPr>
      <w:ind w:left="100" w:leftChars="2500"/>
    </w:pPr>
  </w:style>
  <w:style w:type="paragraph" w:styleId="12">
    <w:name w:val="Balloon Text"/>
    <w:basedOn w:val="1"/>
    <w:link w:val="35"/>
    <w:semiHidden/>
    <w:unhideWhenUsed/>
    <w:qFormat/>
    <w:uiPriority w:val="99"/>
    <w:rPr>
      <w:szCs w:val="18"/>
    </w:rPr>
  </w:style>
  <w:style w:type="paragraph" w:styleId="13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4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5">
    <w:name w:val="toc 1"/>
    <w:basedOn w:val="1"/>
    <w:next w:val="1"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6">
    <w:name w:val="toc 4"/>
    <w:basedOn w:val="1"/>
    <w:next w:val="1"/>
    <w:unhideWhenUsed/>
    <w:qFormat/>
    <w:uiPriority w:val="39"/>
    <w:pPr>
      <w:ind w:left="540"/>
      <w:jc w:val="left"/>
    </w:pPr>
    <w:rPr>
      <w:szCs w:val="18"/>
    </w:rPr>
  </w:style>
  <w:style w:type="paragraph" w:styleId="17">
    <w:name w:val="toc 6"/>
    <w:basedOn w:val="1"/>
    <w:next w:val="1"/>
    <w:unhideWhenUsed/>
    <w:qFormat/>
    <w:uiPriority w:val="39"/>
    <w:pPr>
      <w:ind w:left="900"/>
      <w:jc w:val="left"/>
    </w:pPr>
    <w:rPr>
      <w:szCs w:val="18"/>
    </w:rPr>
  </w:style>
  <w:style w:type="paragraph" w:styleId="18">
    <w:name w:val="toc 2"/>
    <w:basedOn w:val="1"/>
    <w:next w:val="1"/>
    <w:unhideWhenUsed/>
    <w:qFormat/>
    <w:uiPriority w:val="39"/>
    <w:pPr>
      <w:ind w:left="180"/>
      <w:jc w:val="left"/>
    </w:pPr>
    <w:rPr>
      <w:smallCaps/>
      <w:sz w:val="20"/>
      <w:szCs w:val="20"/>
    </w:rPr>
  </w:style>
  <w:style w:type="paragraph" w:styleId="19">
    <w:name w:val="toc 9"/>
    <w:basedOn w:val="1"/>
    <w:next w:val="1"/>
    <w:unhideWhenUsed/>
    <w:qFormat/>
    <w:uiPriority w:val="39"/>
    <w:pPr>
      <w:ind w:left="1440"/>
      <w:jc w:val="left"/>
    </w:pPr>
    <w:rPr>
      <w:szCs w:val="18"/>
    </w:rPr>
  </w:style>
  <w:style w:type="paragraph" w:styleId="2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1">
    <w:name w:val="annotation subject"/>
    <w:basedOn w:val="7"/>
    <w:next w:val="7"/>
    <w:link w:val="42"/>
    <w:semiHidden/>
    <w:unhideWhenUsed/>
    <w:qFormat/>
    <w:uiPriority w:val="99"/>
    <w:rPr>
      <w:b/>
      <w:bCs/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FollowedHyperlink"/>
    <w:basedOn w:val="2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6">
    <w:name w:val="Hyperlink"/>
    <w:basedOn w:val="2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annotation reference"/>
    <w:basedOn w:val="24"/>
    <w:semiHidden/>
    <w:unhideWhenUsed/>
    <w:qFormat/>
    <w:uiPriority w:val="99"/>
    <w:rPr>
      <w:sz w:val="21"/>
      <w:szCs w:val="21"/>
    </w:rPr>
  </w:style>
  <w:style w:type="character" w:customStyle="1" w:styleId="28">
    <w:name w:val="页眉 字符"/>
    <w:basedOn w:val="24"/>
    <w:link w:val="14"/>
    <w:qFormat/>
    <w:uiPriority w:val="99"/>
    <w:rPr>
      <w:sz w:val="18"/>
      <w:szCs w:val="18"/>
    </w:rPr>
  </w:style>
  <w:style w:type="character" w:customStyle="1" w:styleId="29">
    <w:name w:val="页脚 字符"/>
    <w:basedOn w:val="24"/>
    <w:link w:val="13"/>
    <w:qFormat/>
    <w:uiPriority w:val="99"/>
    <w:rPr>
      <w:sz w:val="18"/>
      <w:szCs w:val="18"/>
    </w:rPr>
  </w:style>
  <w:style w:type="paragraph" w:styleId="30">
    <w:name w:val="List Paragraph"/>
    <w:basedOn w:val="1"/>
    <w:link w:val="39"/>
    <w:qFormat/>
    <w:uiPriority w:val="34"/>
    <w:pPr>
      <w:ind w:firstLine="420"/>
    </w:pPr>
  </w:style>
  <w:style w:type="character" w:customStyle="1" w:styleId="31">
    <w:name w:val="日期 字符"/>
    <w:basedOn w:val="24"/>
    <w:link w:val="11"/>
    <w:semiHidden/>
    <w:qFormat/>
    <w:uiPriority w:val="99"/>
  </w:style>
  <w:style w:type="character" w:customStyle="1" w:styleId="32">
    <w:name w:val="标题 1 字符"/>
    <w:basedOn w:val="24"/>
    <w:link w:val="2"/>
    <w:qFormat/>
    <w:uiPriority w:val="9"/>
    <w:rPr>
      <w:rFonts w:eastAsia="微软雅黑"/>
      <w:b/>
      <w:bCs/>
      <w:kern w:val="44"/>
      <w:szCs w:val="44"/>
    </w:rPr>
  </w:style>
  <w:style w:type="character" w:customStyle="1" w:styleId="33">
    <w:name w:val="标题 2 字符"/>
    <w:basedOn w:val="24"/>
    <w:link w:val="3"/>
    <w:qFormat/>
    <w:uiPriority w:val="9"/>
    <w:rPr>
      <w:rFonts w:eastAsia="微软雅黑" w:asciiTheme="majorHAnsi" w:hAnsiTheme="majorHAnsi" w:cstheme="majorBidi"/>
      <w:b/>
      <w:bCs/>
      <w:szCs w:val="32"/>
    </w:rPr>
  </w:style>
  <w:style w:type="character" w:customStyle="1" w:styleId="34">
    <w:name w:val="标题 3 字符"/>
    <w:basedOn w:val="24"/>
    <w:link w:val="4"/>
    <w:qFormat/>
    <w:uiPriority w:val="9"/>
    <w:rPr>
      <w:rFonts w:eastAsia="黑体"/>
      <w:b/>
      <w:bCs/>
      <w:szCs w:val="32"/>
    </w:rPr>
  </w:style>
  <w:style w:type="character" w:customStyle="1" w:styleId="35">
    <w:name w:val="批注框文本 字符"/>
    <w:basedOn w:val="24"/>
    <w:link w:val="12"/>
    <w:semiHidden/>
    <w:qFormat/>
    <w:uiPriority w:val="99"/>
    <w:rPr>
      <w:sz w:val="18"/>
      <w:szCs w:val="18"/>
    </w:rPr>
  </w:style>
  <w:style w:type="character" w:customStyle="1" w:styleId="36">
    <w:name w:val="标题 4 字符"/>
    <w:basedOn w:val="24"/>
    <w:link w:val="5"/>
    <w:qFormat/>
    <w:uiPriority w:val="9"/>
    <w:rPr>
      <w:rFonts w:eastAsia="黑体" w:asciiTheme="majorHAnsi" w:hAnsiTheme="majorHAnsi" w:cstheme="majorBidi"/>
      <w:b/>
      <w:bCs/>
      <w:szCs w:val="28"/>
    </w:rPr>
  </w:style>
  <w:style w:type="character" w:customStyle="1" w:styleId="37">
    <w:name w:val="apple-converted-space"/>
    <w:basedOn w:val="24"/>
    <w:qFormat/>
    <w:uiPriority w:val="0"/>
  </w:style>
  <w:style w:type="paragraph" w:customStyle="1" w:styleId="3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39">
    <w:name w:val="列表段落 字符"/>
    <w:basedOn w:val="24"/>
    <w:link w:val="30"/>
    <w:qFormat/>
    <w:locked/>
    <w:uiPriority w:val="34"/>
    <w:rPr>
      <w:rFonts w:eastAsia="微软雅黑"/>
      <w:sz w:val="18"/>
    </w:rPr>
  </w:style>
  <w:style w:type="paragraph" w:customStyle="1" w:styleId="40">
    <w:name w:val="注意和强调"/>
    <w:basedOn w:val="1"/>
    <w:next w:val="1"/>
    <w:qFormat/>
    <w:uiPriority w:val="0"/>
    <w:pPr>
      <w:pBdr>
        <w:left w:val="single" w:color="999999" w:sz="36" w:space="4"/>
      </w:pBdr>
      <w:tabs>
        <w:tab w:val="left" w:pos="360"/>
      </w:tabs>
      <w:spacing w:before="183" w:beforeLines="30" w:after="183" w:afterLines="30"/>
      <w:ind w:left="360" w:firstLine="0" w:firstLineChars="0"/>
    </w:pPr>
    <w:rPr>
      <w:rFonts w:ascii="微软雅黑" w:hAnsi="微软雅黑" w:cs="Times New Roman"/>
      <w:color w:val="333399"/>
      <w:sz w:val="21"/>
      <w:szCs w:val="21"/>
    </w:rPr>
  </w:style>
  <w:style w:type="character" w:customStyle="1" w:styleId="41">
    <w:name w:val="批注文字 字符"/>
    <w:basedOn w:val="24"/>
    <w:link w:val="7"/>
    <w:semiHidden/>
    <w:qFormat/>
    <w:uiPriority w:val="99"/>
    <w:rPr>
      <w:rFonts w:eastAsia="微软雅黑"/>
      <w:sz w:val="18"/>
    </w:rPr>
  </w:style>
  <w:style w:type="character" w:customStyle="1" w:styleId="42">
    <w:name w:val="批注主题 字符"/>
    <w:basedOn w:val="41"/>
    <w:link w:val="21"/>
    <w:semiHidden/>
    <w:qFormat/>
    <w:uiPriority w:val="99"/>
    <w:rPr>
      <w:rFonts w:eastAsia="微软雅黑"/>
      <w:b/>
      <w:bCs/>
      <w:sz w:val="18"/>
    </w:rPr>
  </w:style>
  <w:style w:type="paragraph" w:styleId="43">
    <w:name w:val="No Spacing"/>
    <w:qFormat/>
    <w:uiPriority w:val="1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44">
    <w:name w:val="Guide"/>
    <w:basedOn w:val="1"/>
    <w:link w:val="45"/>
    <w:qFormat/>
    <w:uiPriority w:val="0"/>
    <w:pPr>
      <w:ind w:firstLine="0" w:firstLineChars="0"/>
      <w:jc w:val="left"/>
    </w:pPr>
    <w:rPr>
      <w:rFonts w:ascii="Arial" w:hAnsi="Arial" w:eastAsia="宋体" w:cs="Times New Roman"/>
      <w:i/>
      <w:iCs/>
      <w:color w:val="0000FF"/>
      <w:sz w:val="20"/>
      <w:szCs w:val="20"/>
      <w:lang w:val="en-AU"/>
    </w:rPr>
  </w:style>
  <w:style w:type="character" w:customStyle="1" w:styleId="45">
    <w:name w:val="Guide Char"/>
    <w:link w:val="44"/>
    <w:qFormat/>
    <w:uiPriority w:val="0"/>
    <w:rPr>
      <w:rFonts w:ascii="Arial" w:hAnsi="Arial" w:eastAsia="宋体" w:cs="Times New Roman"/>
      <w:i/>
      <w:iCs/>
      <w:color w:val="0000FF"/>
      <w:sz w:val="20"/>
      <w:szCs w:val="20"/>
      <w:lang w:val="en-AU"/>
    </w:rPr>
  </w:style>
  <w:style w:type="paragraph" w:customStyle="1" w:styleId="46">
    <w:name w:val="修订1"/>
    <w:hidden/>
    <w:semiHidden/>
    <w:qFormat/>
    <w:uiPriority w:val="99"/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47">
    <w:name w:val="Bullet 1"/>
    <w:basedOn w:val="1"/>
    <w:qFormat/>
    <w:uiPriority w:val="0"/>
    <w:pPr>
      <w:numPr>
        <w:ilvl w:val="0"/>
        <w:numId w:val="2"/>
      </w:numPr>
      <w:tabs>
        <w:tab w:val="left" w:pos="357"/>
      </w:tabs>
      <w:ind w:firstLine="0" w:firstLineChars="0"/>
      <w:contextualSpacing/>
      <w:jc w:val="left"/>
    </w:pPr>
    <w:rPr>
      <w:rFonts w:ascii="Arial" w:hAnsi="Arial" w:eastAsia="宋体" w:cs="Times New Roman"/>
      <w:sz w:val="20"/>
      <w:szCs w:val="20"/>
    </w:rPr>
  </w:style>
  <w:style w:type="paragraph" w:customStyle="1" w:styleId="48">
    <w:name w:val="Guide-Bullet"/>
    <w:basedOn w:val="47"/>
    <w:qFormat/>
    <w:uiPriority w:val="0"/>
    <w:rPr>
      <w:i/>
      <w:iCs/>
      <w:color w:val="0000FF"/>
      <w:lang w:val="en-AU"/>
    </w:rPr>
  </w:style>
  <w:style w:type="paragraph" w:customStyle="1" w:styleId="49">
    <w:name w:val="_Style 48"/>
    <w:basedOn w:val="1"/>
    <w:next w:val="30"/>
    <w:qFormat/>
    <w:uiPriority w:val="34"/>
    <w:pPr>
      <w:ind w:left="720" w:firstLine="0" w:firstLineChars="0"/>
      <w:contextualSpacing/>
      <w:jc w:val="left"/>
    </w:pPr>
    <w:rPr>
      <w:rFonts w:ascii="Arial" w:hAnsi="Arial" w:eastAsia="宋体" w:cs="Times New Roman"/>
      <w:sz w:val="20"/>
      <w:szCs w:val="20"/>
    </w:rPr>
  </w:style>
  <w:style w:type="paragraph" w:customStyle="1" w:styleId="50">
    <w:name w:val="列出段落3"/>
    <w:basedOn w:val="1"/>
    <w:qFormat/>
    <w:uiPriority w:val="34"/>
    <w:pPr>
      <w:ind w:firstLine="420"/>
      <w:jc w:val="left"/>
    </w:pPr>
    <w:rPr>
      <w:rFonts w:ascii="Arial" w:hAnsi="Arial" w:eastAsia="宋体" w:cs="Times New Roman"/>
      <w:sz w:val="20"/>
      <w:szCs w:val="20"/>
    </w:rPr>
  </w:style>
  <w:style w:type="character" w:customStyle="1" w:styleId="51">
    <w:name w:val="未处理的提及1"/>
    <w:basedOn w:val="2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52">
    <w:name w:val="font81"/>
    <w:basedOn w:val="24"/>
    <w:qFormat/>
    <w:uiPriority w:val="0"/>
    <w:rPr>
      <w:rFonts w:ascii="Tahoma" w:hAnsi="Tahoma" w:eastAsia="Tahoma" w:cs="Tahoma"/>
      <w:i/>
      <w:color w:val="ED7D31"/>
      <w:sz w:val="20"/>
      <w:szCs w:val="20"/>
      <w:u w:val="none"/>
    </w:rPr>
  </w:style>
  <w:style w:type="character" w:customStyle="1" w:styleId="53">
    <w:name w:val="font61"/>
    <w:basedOn w:val="24"/>
    <w:qFormat/>
    <w:uiPriority w:val="0"/>
    <w:rPr>
      <w:rFonts w:hint="eastAsia" w:ascii="宋体" w:hAnsi="宋体" w:eastAsia="宋体" w:cs="宋体"/>
      <w:i/>
      <w:color w:val="ED7D31"/>
      <w:sz w:val="20"/>
      <w:szCs w:val="20"/>
      <w:u w:val="none"/>
    </w:rPr>
  </w:style>
  <w:style w:type="paragraph" w:customStyle="1" w:styleId="54">
    <w:name w:val="Revision"/>
    <w:hidden/>
    <w:semiHidden/>
    <w:uiPriority w:val="99"/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A9D552-345E-49C9-AE6A-F2E395C899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航旅纵横</Company>
  <Pages>6</Pages>
  <Words>350</Words>
  <Characters>2001</Characters>
  <Lines>16</Lines>
  <Paragraphs>4</Paragraphs>
  <TotalTime>0</TotalTime>
  <ScaleCrop>false</ScaleCrop>
  <LinksUpToDate>false</LinksUpToDate>
  <CharactersWithSpaces>2347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2020-07-22T05:46:00Z</dcterms:created>
  <dc:creator>张晶</dc:creator>
  <cp:lastModifiedBy>Administrator</cp:lastModifiedBy>
  <dcterms:modified xsi:type="dcterms:W3CDTF">2021-01-12T10:51:01Z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