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微软雅黑" w:hAnsi="微软雅黑"/>
          <w:b/>
          <w:sz w:val="28"/>
        </w:rPr>
      </w:pPr>
      <w:r>
        <w:rPr>
          <w:rFonts w:hint="eastAsia" w:ascii="微软雅黑" w:hAnsi="微软雅黑"/>
          <w:b/>
          <w:sz w:val="28"/>
        </w:rPr>
        <w:t>对接城银清算收费</w:t>
      </w:r>
    </w:p>
    <w:p>
      <w:pPr>
        <w:ind w:firstLine="0" w:firstLineChars="0"/>
        <w:jc w:val="center"/>
        <w:rPr>
          <w:rFonts w:ascii="微软雅黑" w:hAnsi="微软雅黑"/>
          <w:b/>
          <w:sz w:val="28"/>
        </w:rPr>
      </w:pPr>
      <w:r>
        <w:rPr>
          <w:rFonts w:hint="eastAsia" w:ascii="微软雅黑" w:hAnsi="微软雅黑"/>
          <w:b/>
          <w:sz w:val="28"/>
        </w:rPr>
        <w:t>产品需求说明书</w:t>
      </w:r>
      <w:bookmarkStart w:id="0" w:name="_GoBack"/>
      <w:bookmarkEnd w:id="0"/>
    </w:p>
    <w:p>
      <w:pPr>
        <w:ind w:firstLine="360"/>
      </w:pPr>
    </w:p>
    <w:p>
      <w:pPr>
        <w:ind w:firstLine="36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numPr>
          <w:ilvl w:val="0"/>
          <w:numId w:val="1"/>
        </w:numPr>
        <w:spacing w:line="480" w:lineRule="exact"/>
        <w:ind w:firstLine="420"/>
        <w:rPr>
          <w:rFonts w:ascii="微软雅黑" w:hAnsi="微软雅黑" w:cs="微软雅黑"/>
          <w:b/>
          <w:bCs/>
          <w:sz w:val="21"/>
          <w:szCs w:val="21"/>
        </w:rPr>
      </w:pPr>
      <w:r>
        <w:rPr>
          <w:rFonts w:hint="eastAsia" w:ascii="微软雅黑" w:hAnsi="微软雅黑" w:cs="微软雅黑"/>
          <w:b/>
          <w:bCs/>
          <w:sz w:val="21"/>
          <w:szCs w:val="21"/>
        </w:rPr>
        <w:t>背景和目标：</w:t>
      </w:r>
    </w:p>
    <w:p>
      <w:pPr>
        <w:spacing w:line="480" w:lineRule="exact"/>
        <w:ind w:firstLine="360"/>
        <w:rPr>
          <w:rFonts w:ascii="微软雅黑" w:hAnsi="微软雅黑" w:cs="微软雅黑"/>
          <w:szCs w:val="18"/>
        </w:rPr>
      </w:pPr>
      <w:r>
        <w:rPr>
          <w:rFonts w:hint="eastAsia" w:ascii="微软雅黑" w:hAnsi="微软雅黑" w:cs="微软雅黑"/>
          <w:szCs w:val="18"/>
        </w:rPr>
        <w:t>因融汇渠道对接的招行可能于3月31日提前切换至签约代扣模式，但我社对接的签约接口暂未上线，无法支持签约流程。为确保不影响正常收费，拟通过融汇通接入城银清算，解决正常的保费收款问题。</w:t>
      </w:r>
    </w:p>
    <w:p>
      <w:pPr>
        <w:spacing w:line="480" w:lineRule="exact"/>
        <w:ind w:firstLine="360"/>
        <w:rPr>
          <w:rFonts w:ascii="微软雅黑" w:hAnsi="微软雅黑" w:cs="微软雅黑"/>
          <w:szCs w:val="18"/>
        </w:rPr>
      </w:pPr>
      <w:r>
        <w:rPr>
          <w:rFonts w:hint="eastAsia" w:ascii="微软雅黑" w:hAnsi="微软雅黑" w:cs="微软雅黑"/>
          <w:b/>
          <w:bCs/>
          <w:szCs w:val="18"/>
        </w:rPr>
        <w:t>城银清算背景</w:t>
      </w:r>
      <w:r>
        <w:rPr>
          <w:rFonts w:hint="eastAsia" w:ascii="微软雅黑" w:hAnsi="微软雅黑" w:cs="微软雅黑"/>
          <w:szCs w:val="18"/>
        </w:rPr>
        <w:t>：2020年5月起，人行清算总中心53号文件明确：由城银清算中心承接代收付业务。据此，保融融汇通作为技术服务商为保险公司提供接入人行支付系统开展跨行代收付业务的技术服务。城银清算渠道不受银行合作关系的影响，遵守央行规则，渠道稳定性强。</w:t>
      </w:r>
    </w:p>
    <w:p>
      <w:pPr>
        <w:spacing w:line="480" w:lineRule="exact"/>
        <w:ind w:firstLine="360"/>
        <w:rPr>
          <w:rFonts w:ascii="微软雅黑" w:hAnsi="微软雅黑" w:cs="微软雅黑"/>
          <w:szCs w:val="18"/>
        </w:rPr>
      </w:pPr>
      <w:r>
        <w:rPr>
          <w:rFonts w:hint="eastAsia" w:ascii="微软雅黑" w:hAnsi="微软雅黑" w:cs="微软雅黑"/>
          <w:szCs w:val="18"/>
        </w:rPr>
        <w:t>同时，城银清算可覆盖100余家银行，单笔限额为100万元，</w:t>
      </w:r>
      <w:r>
        <w:rPr>
          <w:rFonts w:hint="eastAsia" w:ascii="微软雅黑" w:hAnsi="微软雅黑" w:cs="微软雅黑"/>
          <w:szCs w:val="18"/>
          <w:lang w:eastAsia="zh-CN"/>
        </w:rPr>
        <w:t>单日无限额。</w:t>
      </w:r>
      <w:r>
        <w:rPr>
          <w:rFonts w:hint="eastAsia" w:ascii="微软雅黑" w:hAnsi="微软雅黑" w:cs="微软雅黑"/>
          <w:szCs w:val="18"/>
        </w:rPr>
        <w:t>也可在一定程度上拓宽我社的收费渠道及收款限额。</w:t>
      </w:r>
    </w:p>
    <w:p>
      <w:pPr>
        <w:spacing w:line="480" w:lineRule="exact"/>
        <w:ind w:firstLine="360"/>
        <w:rPr>
          <w:rFonts w:ascii="微软雅黑" w:hAnsi="微软雅黑" w:cs="微软雅黑"/>
          <w:szCs w:val="18"/>
        </w:rPr>
      </w:pPr>
    </w:p>
    <w:p>
      <w:pPr>
        <w:numPr>
          <w:ilvl w:val="0"/>
          <w:numId w:val="1"/>
        </w:numPr>
        <w:spacing w:line="480" w:lineRule="exact"/>
        <w:ind w:firstLine="420"/>
        <w:rPr>
          <w:rFonts w:ascii="微软雅黑" w:hAnsi="微软雅黑" w:cs="微软雅黑"/>
          <w:b/>
          <w:bCs/>
          <w:sz w:val="21"/>
          <w:szCs w:val="21"/>
        </w:rPr>
      </w:pPr>
      <w:r>
        <w:rPr>
          <w:rFonts w:hint="eastAsia" w:ascii="微软雅黑" w:hAnsi="微软雅黑" w:cs="微软雅黑"/>
          <w:b/>
          <w:bCs/>
          <w:sz w:val="21"/>
          <w:szCs w:val="21"/>
        </w:rPr>
        <w:t>需求内容：</w:t>
      </w:r>
    </w:p>
    <w:p>
      <w:pPr>
        <w:numPr>
          <w:ilvl w:val="0"/>
          <w:numId w:val="2"/>
        </w:numPr>
        <w:spacing w:line="480" w:lineRule="exact"/>
        <w:ind w:firstLine="360"/>
        <w:rPr>
          <w:rFonts w:ascii="微软雅黑" w:hAnsi="微软雅黑" w:cs="Times New Roman"/>
          <w:b/>
          <w:bCs/>
          <w:szCs w:val="18"/>
        </w:rPr>
      </w:pPr>
      <w:r>
        <w:rPr>
          <w:rFonts w:hint="eastAsia" w:ascii="微软雅黑" w:hAnsi="微软雅黑" w:cs="Times New Roman"/>
          <w:b/>
          <w:bCs/>
          <w:szCs w:val="18"/>
        </w:rPr>
        <w:t>接口无需二次开发，使用保融融汇通现有接口。</w:t>
      </w:r>
    </w:p>
    <w:p>
      <w:pPr>
        <w:pStyle w:val="11"/>
        <w:spacing w:line="480" w:lineRule="exact"/>
        <w:ind w:firstLine="360"/>
      </w:pPr>
      <w:r>
        <w:rPr>
          <w:rFonts w:hint="eastAsia"/>
        </w:rPr>
        <w:t>详见附件接口文档。</w:t>
      </w:r>
    </w:p>
    <w:p>
      <w:pPr>
        <w:pStyle w:val="11"/>
        <w:spacing w:line="480" w:lineRule="exact"/>
        <w:ind w:firstLine="360"/>
      </w:pPr>
      <w:r>
        <w:rPr>
          <w:rFonts w:hint="eastAsia" w:ascii="微软雅黑" w:hAnsi="微软雅黑" w:cs="Times New Roman"/>
          <w:b/>
          <w:bCs/>
          <w:szCs w:val="18"/>
          <w:lang w:val="en-US" w:eastAsia="zh-CN"/>
        </w:rPr>
        <w:pict>
          <v:shape id="_x0000_s1026" o:spid="_x0000_s1026" o:spt="75" type="#_x0000_t75" style="position:absolute;left:0pt;margin-left:15.35pt;margin-top:7pt;height:66pt;width:72.75pt;mso-wrap-distance-bottom:0pt;mso-wrap-distance-top:0pt;z-index:251658240;mso-width-relative:page;mso-height-relative:page;" o:ole="t" filled="f" o:preferrelative="t" stroked="f" coordsize="21600,21600">
            <v:path/>
            <v:fill on="f" focussize="0,0"/>
            <v:stroke on="f"/>
            <v:imagedata r:id="rId11" o:title=""/>
            <o:lock v:ext="edit" aspectratio="t"/>
            <w10:wrap type="topAndBottom"/>
          </v:shape>
          <o:OLEObject Type="Embed" ProgID="Word.Document.12" ShapeID="_x0000_s1026" DrawAspect="Icon" ObjectID="_1468075725" r:id="rId10">
            <o:LockedField>false</o:LockedField>
          </o:OLEObject>
        </w:pict>
      </w:r>
      <w:r>
        <w:rPr>
          <w:rFonts w:hint="eastAsia"/>
        </w:rPr>
        <w:t>新增“跨行代收”字段。指令类型传“同行代收”则走原来保融融汇通对接的各银行；传“跨行代收”则走城银清算。包含单笔及批量接口。</w:t>
      </w:r>
    </w:p>
    <w:p>
      <w:pPr>
        <w:pStyle w:val="11"/>
        <w:spacing w:line="480" w:lineRule="exact"/>
        <w:ind w:firstLine="360"/>
        <w:rPr>
          <w:rFonts w:hint="eastAsia"/>
        </w:rPr>
      </w:pPr>
      <w:r>
        <w:rPr>
          <w:rFonts w:hint="eastAsia"/>
        </w:rPr>
        <w:t>资金在收付款银行间直接划转，无中间过渡账户。通过城银清算支持的所有银行收费均清算至我社的中行保费收入户。（开户行：中行杭州涌金支行 ，账号：</w:t>
      </w:r>
      <w:r>
        <w:rPr>
          <w:rFonts w:hint="eastAsia"/>
          <w:color w:val="000000"/>
        </w:rPr>
        <w:t>377974988708</w:t>
      </w:r>
      <w:r>
        <w:rPr>
          <w:color w:val="000000"/>
        </w:rPr>
        <w:t xml:space="preserve"> </w:t>
      </w:r>
      <w:r>
        <w:rPr>
          <w:rFonts w:hint="eastAsia"/>
        </w:rPr>
        <w:t>）</w:t>
      </w:r>
    </w:p>
    <w:p>
      <w:pPr>
        <w:numPr>
          <w:ilvl w:val="0"/>
          <w:numId w:val="2"/>
        </w:numPr>
        <w:spacing w:line="480" w:lineRule="exact"/>
        <w:ind w:firstLine="360"/>
        <w:rPr>
          <w:rFonts w:ascii="微软雅黑" w:hAnsi="微软雅黑" w:cs="Times New Roman"/>
          <w:b/>
          <w:bCs/>
          <w:szCs w:val="18"/>
        </w:rPr>
      </w:pPr>
      <w:r>
        <w:rPr>
          <w:rFonts w:hint="eastAsia" w:ascii="微软雅黑" w:hAnsi="微软雅黑" w:cs="Times New Roman"/>
          <w:b/>
          <w:bCs/>
          <w:szCs w:val="18"/>
        </w:rPr>
        <w:t>收费渠道的切换</w:t>
      </w:r>
    </w:p>
    <w:p>
      <w:pPr>
        <w:pStyle w:val="11"/>
        <w:spacing w:line="480" w:lineRule="exact"/>
        <w:ind w:firstLine="360"/>
      </w:pPr>
      <w:r>
        <w:rPr>
          <w:rFonts w:hint="eastAsia"/>
        </w:rPr>
        <w:t>因城银支持的单笔限额为100万元，目前融汇通对接的招行单笔限额仅为20万元。故城银清算上线后招行的收费渠道直接切换为城银渠道。</w:t>
      </w:r>
      <w:r>
        <w:rPr>
          <w:rFonts w:hint="eastAsia"/>
          <w:lang w:eastAsia="zh-CN"/>
        </w:rPr>
        <w:t>（</w:t>
      </w:r>
      <w:r>
        <w:rPr>
          <w:rFonts w:hint="eastAsia"/>
        </w:rPr>
        <w:t>城银银行支持列表详见附件</w:t>
      </w:r>
      <w:r>
        <w:rPr>
          <w:rFonts w:hint="eastAsia"/>
          <w:lang w:eastAsia="zh-CN"/>
        </w:rPr>
        <w:t>）</w:t>
      </w:r>
    </w:p>
    <w:p>
      <w:pPr>
        <w:pStyle w:val="11"/>
        <w:spacing w:line="480" w:lineRule="exact"/>
        <w:ind w:firstLine="360"/>
        <w:rPr>
          <w:rFonts w:ascii="微软雅黑" w:hAnsi="微软雅黑" w:cs="Times New Roman"/>
          <w:b/>
          <w:bCs/>
          <w:szCs w:val="18"/>
        </w:rPr>
      </w:pPr>
      <w:r>
        <w:rPr>
          <w:rFonts w:hint="eastAsia"/>
        </w:rPr>
        <w:pict>
          <v:shape id="_x0000_s1027" o:spid="_x0000_s1027" o:spt="75" type="#_x0000_t75" style="position:absolute;left:0pt;margin-left:1.9pt;margin-top:0.45pt;height:60.2pt;width:66.35pt;mso-wrap-distance-bottom:0pt;mso-wrap-distance-top:0pt;z-index:251659264;mso-width-relative:page;mso-height-relative:page;" o:ole="t" filled="f" o:preferrelative="t" stroked="f" coordsize="21600,21600">
            <v:path/>
            <v:fill on="f" focussize="0,0"/>
            <v:stroke on="f"/>
            <v:imagedata r:id="rId13" o:title=""/>
            <o:lock v:ext="edit" aspectratio="t"/>
            <w10:wrap type="topAndBottom"/>
          </v:shape>
          <o:OLEObject Type="Embed" ProgID="Excel.Sheet.12" ShapeID="_x0000_s1027" DrawAspect="Icon" ObjectID="_1468075726" r:id="rId12">
            <o:LockedField>false</o:LockedField>
          </o:OLEObject>
        </w:pict>
      </w:r>
      <w:r>
        <w:rPr>
          <w:rFonts w:hint="eastAsia"/>
        </w:rPr>
        <w:t>同时需支持通过分流规则的配置进行</w:t>
      </w:r>
      <w:r>
        <w:rPr>
          <w:rFonts w:hint="eastAsia"/>
          <w:lang w:eastAsia="zh-CN"/>
        </w:rPr>
        <w:t>其余</w:t>
      </w:r>
      <w:r>
        <w:rPr>
          <w:rFonts w:hint="eastAsia"/>
        </w:rPr>
        <w:t>收费渠道的切换。</w:t>
      </w:r>
    </w:p>
    <w:p>
      <w:pPr>
        <w:numPr>
          <w:ilvl w:val="0"/>
          <w:numId w:val="2"/>
        </w:numPr>
        <w:spacing w:line="480" w:lineRule="exact"/>
        <w:ind w:firstLine="360"/>
        <w:rPr>
          <w:rFonts w:ascii="微软雅黑" w:hAnsi="微软雅黑" w:cs="Times New Roman"/>
          <w:b/>
          <w:bCs/>
          <w:szCs w:val="18"/>
        </w:rPr>
      </w:pPr>
      <w:r>
        <w:rPr>
          <w:rFonts w:hint="eastAsia" w:ascii="微软雅黑" w:hAnsi="微软雅黑" w:cs="Times New Roman"/>
          <w:b/>
          <w:bCs/>
          <w:szCs w:val="18"/>
        </w:rPr>
        <w:t>历史数据的处理</w:t>
      </w:r>
    </w:p>
    <w:p>
      <w:pPr>
        <w:pStyle w:val="11"/>
        <w:spacing w:line="480" w:lineRule="exact"/>
        <w:ind w:firstLine="360"/>
        <w:rPr>
          <w:rFonts w:hint="eastAsia" w:eastAsia="微软雅黑"/>
          <w:lang w:eastAsia="zh-CN"/>
        </w:rPr>
      </w:pPr>
      <w:r>
        <w:rPr>
          <w:rFonts w:hint="eastAsia"/>
        </w:rPr>
        <w:t>城银清算的代扣方式暂为裸扣，本次不涉及历史数据的处理</w:t>
      </w:r>
      <w:r>
        <w:rPr>
          <w:rFonts w:hint="eastAsia"/>
          <w:lang w:eastAsia="zh-CN"/>
        </w:rPr>
        <w:t>。</w:t>
      </w:r>
    </w:p>
    <w:p>
      <w:pPr>
        <w:numPr>
          <w:ilvl w:val="0"/>
          <w:numId w:val="2"/>
        </w:numPr>
        <w:spacing w:line="480" w:lineRule="exact"/>
        <w:ind w:firstLine="360"/>
      </w:pPr>
      <w:r>
        <w:rPr>
          <w:rFonts w:hint="eastAsia" w:ascii="微软雅黑" w:hAnsi="微软雅黑" w:cs="Times New Roman"/>
          <w:b/>
          <w:bCs/>
          <w:szCs w:val="18"/>
        </w:rPr>
        <w:t>本次需求为收费渠道对接需求，暂不包含对账规则。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988AB"/>
    <w:multiLevelType w:val="singleLevel"/>
    <w:tmpl w:val="836988AB"/>
    <w:lvl w:ilvl="0" w:tentative="0">
      <w:start w:val="1"/>
      <w:numFmt w:val="chineseCounting"/>
      <w:suff w:val="nothing"/>
      <w:lvlText w:val="%1、"/>
      <w:lvlJc w:val="left"/>
      <w:rPr>
        <w:rFonts w:hint="eastAsia"/>
      </w:rPr>
    </w:lvl>
  </w:abstractNum>
  <w:abstractNum w:abstractNumId="1">
    <w:nsid w:val="1EE9018E"/>
    <w:multiLevelType w:val="multilevel"/>
    <w:tmpl w:val="1EE9018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937F5"/>
    <w:rsid w:val="00007C73"/>
    <w:rsid w:val="0001287B"/>
    <w:rsid w:val="000736FD"/>
    <w:rsid w:val="000D0956"/>
    <w:rsid w:val="000E41E4"/>
    <w:rsid w:val="0016401B"/>
    <w:rsid w:val="00194A46"/>
    <w:rsid w:val="001A0D84"/>
    <w:rsid w:val="001C1C33"/>
    <w:rsid w:val="001E1C57"/>
    <w:rsid w:val="0020261C"/>
    <w:rsid w:val="002119C2"/>
    <w:rsid w:val="00252E12"/>
    <w:rsid w:val="002D6C59"/>
    <w:rsid w:val="003170BA"/>
    <w:rsid w:val="003F7610"/>
    <w:rsid w:val="004431AB"/>
    <w:rsid w:val="005D4E49"/>
    <w:rsid w:val="005E4DAD"/>
    <w:rsid w:val="0069699F"/>
    <w:rsid w:val="00720C7C"/>
    <w:rsid w:val="00721AC0"/>
    <w:rsid w:val="007D4BFE"/>
    <w:rsid w:val="008A102B"/>
    <w:rsid w:val="008D01DA"/>
    <w:rsid w:val="00912B26"/>
    <w:rsid w:val="0091522E"/>
    <w:rsid w:val="00980BDB"/>
    <w:rsid w:val="00992204"/>
    <w:rsid w:val="009D7644"/>
    <w:rsid w:val="00A4390C"/>
    <w:rsid w:val="00AF627D"/>
    <w:rsid w:val="00BB44CB"/>
    <w:rsid w:val="00C4613A"/>
    <w:rsid w:val="00C84D01"/>
    <w:rsid w:val="00CF4BED"/>
    <w:rsid w:val="00CF5F0D"/>
    <w:rsid w:val="00E9690E"/>
    <w:rsid w:val="00F06536"/>
    <w:rsid w:val="00F33C17"/>
    <w:rsid w:val="00F62031"/>
    <w:rsid w:val="00F92173"/>
    <w:rsid w:val="00FF493B"/>
    <w:rsid w:val="05967B6E"/>
    <w:rsid w:val="05BE4550"/>
    <w:rsid w:val="0D07658F"/>
    <w:rsid w:val="0F5A3CFF"/>
    <w:rsid w:val="19551DAD"/>
    <w:rsid w:val="1A8A115B"/>
    <w:rsid w:val="260937F5"/>
    <w:rsid w:val="278F6225"/>
    <w:rsid w:val="304E4BC3"/>
    <w:rsid w:val="31C71D0E"/>
    <w:rsid w:val="32C54360"/>
    <w:rsid w:val="3A327A4C"/>
    <w:rsid w:val="41D76335"/>
    <w:rsid w:val="41F90220"/>
    <w:rsid w:val="44241444"/>
    <w:rsid w:val="46155A74"/>
    <w:rsid w:val="491C5839"/>
    <w:rsid w:val="496B7E3F"/>
    <w:rsid w:val="4B7F1EEB"/>
    <w:rsid w:val="4DF259F4"/>
    <w:rsid w:val="510425EC"/>
    <w:rsid w:val="54242776"/>
    <w:rsid w:val="57F5679C"/>
    <w:rsid w:val="5BA92616"/>
    <w:rsid w:val="71FB09D3"/>
    <w:rsid w:val="74170DF3"/>
    <w:rsid w:val="7A202198"/>
    <w:rsid w:val="7C18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firstLine="0" w:firstLineChars="0"/>
      <w:jc w:val="left"/>
    </w:pPr>
    <w:rPr>
      <w:rFonts w:cs="Times New Roman" w:eastAsiaTheme="minorEastAsia"/>
      <w:kern w:val="0"/>
      <w:sz w:val="22"/>
    </w:rPr>
  </w:style>
  <w:style w:type="paragraph" w:styleId="4">
    <w:name w:val="footer"/>
    <w:basedOn w:val="1"/>
    <w:link w:val="16"/>
    <w:qFormat/>
    <w:uiPriority w:val="0"/>
    <w:pPr>
      <w:tabs>
        <w:tab w:val="center" w:pos="4153"/>
        <w:tab w:val="right" w:pos="8306"/>
      </w:tabs>
      <w:snapToGrid w:val="0"/>
      <w:jc w:val="left"/>
    </w:pPr>
    <w:rPr>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Cs w:val="18"/>
    </w:rPr>
  </w:style>
  <w:style w:type="paragraph" w:styleId="6">
    <w:name w:val="toc 1"/>
    <w:basedOn w:val="1"/>
    <w:next w:val="1"/>
    <w:unhideWhenUsed/>
    <w:qFormat/>
    <w:uiPriority w:val="39"/>
    <w:pPr>
      <w:widowControl/>
      <w:spacing w:after="100" w:line="259" w:lineRule="auto"/>
      <w:ind w:firstLine="0" w:firstLineChars="0"/>
      <w:jc w:val="left"/>
    </w:pPr>
    <w:rPr>
      <w:rFonts w:cs="Times New Roman" w:eastAsiaTheme="minorEastAsia"/>
      <w:kern w:val="0"/>
      <w:sz w:val="22"/>
    </w:rPr>
  </w:style>
  <w:style w:type="paragraph" w:styleId="7">
    <w:name w:val="toc 2"/>
    <w:basedOn w:val="1"/>
    <w:next w:val="1"/>
    <w:unhideWhenUsed/>
    <w:qFormat/>
    <w:uiPriority w:val="39"/>
    <w:pPr>
      <w:widowControl/>
      <w:spacing w:after="100" w:line="259" w:lineRule="auto"/>
      <w:ind w:left="220" w:firstLine="0" w:firstLineChars="0"/>
      <w:jc w:val="left"/>
    </w:pPr>
    <w:rPr>
      <w:rFonts w:cs="Times New Roman" w:eastAsiaTheme="minorEastAsia"/>
      <w:kern w:val="0"/>
      <w:sz w:val="22"/>
    </w:r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paragraph" w:styleId="11">
    <w:name w:val="List Paragraph"/>
    <w:basedOn w:val="1"/>
    <w:qFormat/>
    <w:uiPriority w:val="99"/>
    <w:pPr>
      <w:ind w:firstLine="420"/>
    </w:pPr>
  </w:style>
  <w:style w:type="character" w:customStyle="1" w:styleId="12">
    <w:name w:val="标题 1 字符"/>
    <w:basedOn w:val="9"/>
    <w:link w:val="2"/>
    <w:qFormat/>
    <w:uiPriority w:val="0"/>
    <w:rPr>
      <w:rFonts w:eastAsia="微软雅黑" w:asciiTheme="minorHAnsi" w:hAnsiTheme="minorHAnsi" w:cstheme="minorBidi"/>
      <w:b/>
      <w:bCs/>
      <w:kern w:val="44"/>
      <w:sz w:val="44"/>
      <w:szCs w:val="44"/>
    </w:rPr>
  </w:style>
  <w:style w:type="paragraph" w:customStyle="1" w:styleId="13">
    <w:name w:val="TOC 标题1"/>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4">
    <w:name w:val="List Paragraph1"/>
    <w:basedOn w:val="1"/>
    <w:qFormat/>
    <w:uiPriority w:val="0"/>
    <w:pPr>
      <w:ind w:firstLine="420"/>
    </w:pPr>
    <w:rPr>
      <w:rFonts w:ascii="等线" w:hAnsi="等线" w:cs="Times New Roman"/>
      <w:szCs w:val="18"/>
    </w:rPr>
  </w:style>
  <w:style w:type="character" w:customStyle="1" w:styleId="15">
    <w:name w:val="页眉 字符"/>
    <w:basedOn w:val="9"/>
    <w:link w:val="5"/>
    <w:qFormat/>
    <w:uiPriority w:val="0"/>
    <w:rPr>
      <w:rFonts w:eastAsia="微软雅黑"/>
      <w:kern w:val="2"/>
      <w:sz w:val="18"/>
      <w:szCs w:val="18"/>
    </w:rPr>
  </w:style>
  <w:style w:type="character" w:customStyle="1" w:styleId="16">
    <w:name w:val="页脚 字符"/>
    <w:basedOn w:val="9"/>
    <w:link w:val="4"/>
    <w:qFormat/>
    <w:uiPriority w:val="0"/>
    <w:rPr>
      <w:rFont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54406-2469-481A-9C22-45C9C751854F}">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110</Words>
  <Characters>629</Characters>
  <Lines>5</Lines>
  <Paragraphs>1</Paragraphs>
  <TotalTime>7</TotalTime>
  <ScaleCrop>false</ScaleCrop>
  <LinksUpToDate>false</LinksUpToDate>
  <CharactersWithSpaces>738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2020-12-22T09:53:00Z</dcterms:created>
  <dc:creator>李京津</dc:creator>
  <cp:lastModifiedBy>Administrator</cp:lastModifiedBy>
  <dcterms:modified xsi:type="dcterms:W3CDTF">2021-03-12T06:58:41Z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