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招商银行银保通渠道免密支付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我社拟与招商银行对接“挺好保”产品，本次主要针对该产品，使用招商银行“免密支付”功能。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产品概述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整体流程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）涉及业务场景：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新契约、续期（加保暂不适用）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）功能简述：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用户通过招商银行</w:t>
      </w:r>
      <w:r>
        <w:rPr>
          <w:rFonts w:hint="eastAsia"/>
          <w:lang w:val="en-US" w:eastAsia="zh-CN"/>
        </w:rPr>
        <w:t>APP（目前只面向招行北分用户）</w:t>
      </w:r>
      <w:r>
        <w:rPr>
          <w:rFonts w:hint="eastAsia"/>
          <w:lang w:eastAsia="zh-CN"/>
        </w:rPr>
        <w:t>购买“挺好保”产品，在投保时，需先通过招商银行手机银行</w:t>
      </w:r>
      <w:r>
        <w:rPr>
          <w:rFonts w:hint="eastAsia"/>
          <w:lang w:val="en-US" w:eastAsia="zh-CN"/>
        </w:rPr>
        <w:t>APP进行签约授权来开通免密支付功能并同时支付首期保费。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该产品必须签约免密功能后方可投保。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开通后，该功能也可在收取续期保费时使用。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（3）限额：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经与银行沟通，免密支付的限额暂定为5000元。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保费金额小于5000元时，则直接使用该功能收取保费。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本次需求规则主要针对“挺好保”产品 ，但考虑招行的“免密支付”功能适用场景较广，且我社已与招行对接了银企直联。后续会将“免密支付”的功能拓展为通用规则。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30CF4CB8"/>
    <w:rsid w:val="32CD0642"/>
    <w:rsid w:val="351465F5"/>
    <w:rsid w:val="358F68D0"/>
    <w:rsid w:val="41F42904"/>
    <w:rsid w:val="430C25F8"/>
    <w:rsid w:val="58CB0C4B"/>
    <w:rsid w:val="61F20BD5"/>
    <w:rsid w:val="6200702C"/>
    <w:rsid w:val="79094C8D"/>
    <w:rsid w:val="7BA43945"/>
    <w:rsid w:val="7E1C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222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2020-10-15T06:44:03Z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