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 w:eastAsia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招商银行保费收入户、手续费支出户对账规则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背景和目标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我社正与招商银行对接“挺好保”产品，本次主要针对招行的保费收入户及手续费结算账户的</w:t>
      </w:r>
      <w:r>
        <w:rPr>
          <w:rFonts w:hint="eastAsia" w:ascii="微软雅黑" w:hAnsi="微软雅黑" w:cs="微软雅黑"/>
          <w:color w:val="auto"/>
          <w:sz w:val="24"/>
          <w:szCs w:val="24"/>
          <w:lang w:val="en-US" w:eastAsia="zh-CN"/>
        </w:rPr>
        <w:t>ZA、ZD类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对账规则提出需求。</w:t>
      </w:r>
    </w:p>
    <w:p>
      <w:pPr>
        <w:pStyle w:val="2"/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产品概述 </w:t>
      </w:r>
    </w:p>
    <w:p>
      <w:pPr>
        <w:pStyle w:val="3"/>
        <w:numPr>
          <w:ilvl w:val="1"/>
          <w:numId w:val="3"/>
        </w:numP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需求内容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功能简述：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（1）保费收入户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【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账号：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110928036310705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】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ind w:firstLine="360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招行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银保通渠道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ZA对账规则：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【日汇总对账】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银保通渠道T+0清算资金，按日汇总划付。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交易日期=账单交易日期（格式：YYYY-MM-DD）且交易流水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表按交易日期汇总交易总金额 与 账单信息中【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摘要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】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字段取值为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 xml:space="preserve">【BI04 保险清算】同交易日期的【贷方】字段的金额匹配是否一致，若一致且有大于1条数据时随机匹配一条标记为对账已经平账，匹配不一致则标记为已对账未平账。 </w:t>
      </w:r>
    </w:p>
    <w:p>
      <w:pPr>
        <w:numPr>
          <w:ilvl w:val="0"/>
          <w:numId w:val="4"/>
        </w:numPr>
        <w:ind w:firstLine="360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cs="微软雅黑"/>
          <w:color w:val="auto"/>
          <w:sz w:val="24"/>
          <w:szCs w:val="24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直联代扣</w:t>
      </w:r>
      <w:r>
        <w:rPr>
          <w:rFonts w:hint="eastAsia" w:ascii="微软雅黑" w:hAnsi="微软雅黑" w:cs="微软雅黑"/>
          <w:color w:val="auto"/>
          <w:sz w:val="24"/>
          <w:szCs w:val="24"/>
          <w:lang w:eastAsia="zh-CN"/>
        </w:rPr>
        <w:t>”渠道</w:t>
      </w:r>
      <w:r>
        <w:rPr>
          <w:rFonts w:hint="eastAsia" w:ascii="微软雅黑" w:hAnsi="微软雅黑" w:cs="微软雅黑"/>
          <w:color w:val="auto"/>
          <w:sz w:val="24"/>
          <w:szCs w:val="24"/>
          <w:lang w:val="en-US" w:eastAsia="zh-CN"/>
        </w:rPr>
        <w:t>ZA对账规则：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【日汇总对账】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直联代扣渠道按T+1清算资金，按日汇总划付。如发生退款，则借贷分离。</w:t>
      </w:r>
    </w:p>
    <w:p>
      <w:pPr>
        <w:ind w:firstLine="360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直联代扣渠道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交易流水表按交易日期（格式：YYYY-MM-DD）汇总交易总金额 与 账单信息中【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摘要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】字段取值为【日期+清算款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商户名】的账单交易日期（格式：YYYY-MM-DD）（此处的账单日期找交易流水的T＋1日，T为工作日）的【贷方</w:t>
      </w:r>
      <w:r>
        <w:rPr>
          <w:rFonts w:hint="eastAsia" w:ascii="微软雅黑" w:hAnsi="微软雅黑" w:cs="微软雅黑"/>
          <w:color w:val="auto"/>
          <w:sz w:val="24"/>
          <w:szCs w:val="24"/>
          <w:lang w:val="en-US" w:eastAsia="zh-CN"/>
        </w:rPr>
        <w:t>-借方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】字段的金额匹配是否一致，若一致且有大于1条数据时随机匹配一条标记为对账已经平账，匹配不一致则标记为已对账未平账。</w:t>
      </w:r>
    </w:p>
    <w:p>
      <w:pPr>
        <w:ind w:firstLine="360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手续费支出户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账号：110928036310904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】</w:t>
      </w:r>
      <w:r>
        <w:rPr>
          <w:rFonts w:hint="eastAsia" w:ascii="微软雅黑" w:hAnsi="微软雅黑" w:cs="微软雅黑"/>
          <w:color w:val="auto"/>
          <w:sz w:val="24"/>
          <w:szCs w:val="24"/>
          <w:lang w:eastAsia="zh-CN"/>
        </w:rPr>
        <w:t>与</w:t>
      </w:r>
      <w:r>
        <w:rPr>
          <w:rFonts w:hint="eastAsia" w:ascii="微软雅黑" w:hAnsi="微软雅黑" w:cs="微软雅黑"/>
          <w:color w:val="auto"/>
          <w:sz w:val="24"/>
          <w:szCs w:val="24"/>
          <w:lang w:val="en-US" w:eastAsia="zh-CN"/>
        </w:rPr>
        <w:t>ZD对账规则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4"/>
          <w:szCs w:val="24"/>
          <w:lang w:val="en-US" w:eastAsia="zh-CN"/>
        </w:rPr>
        <w:t xml:space="preserve">     适用场景：结息、结算费、资金调拨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eastAsia="zh-CN"/>
        </w:rPr>
        <w:t>按对账码对账</w:t>
      </w:r>
    </w:p>
    <w:p>
      <w:pPr>
        <w:ind w:firstLine="36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银行账单对账码与SAP对账码一致且 银行账单收入金额与SAP借方发生额（收） / 银行账单支出金额与SAP贷方发生额（支）一致 时标记为已对账已平账，否则标记为已对账未平账。</w:t>
      </w:r>
      <w:bookmarkStart w:id="0" w:name="_GoBack"/>
      <w:bookmarkEnd w:id="0"/>
    </w:p>
    <w:p>
      <w:pPr>
        <w:ind w:firstLine="360"/>
        <w:rPr>
          <w:rFonts w:hint="eastAsia"/>
          <w:color w:val="auto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A5328"/>
    <w:multiLevelType w:val="singleLevel"/>
    <w:tmpl w:val="A5DA53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39B1F2"/>
    <w:multiLevelType w:val="singleLevel"/>
    <w:tmpl w:val="7439B1F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7196"/>
    <w:rsid w:val="002D4134"/>
    <w:rsid w:val="00333F5E"/>
    <w:rsid w:val="0034452D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F22FE"/>
    <w:rsid w:val="00A15285"/>
    <w:rsid w:val="00A325CB"/>
    <w:rsid w:val="00A423F7"/>
    <w:rsid w:val="00A56262"/>
    <w:rsid w:val="00A730E7"/>
    <w:rsid w:val="00B0581E"/>
    <w:rsid w:val="00B810D3"/>
    <w:rsid w:val="00BE0E62"/>
    <w:rsid w:val="00BF0504"/>
    <w:rsid w:val="00BF56A7"/>
    <w:rsid w:val="00C1180D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F3FFA"/>
    <w:rsid w:val="00F00FFB"/>
    <w:rsid w:val="00F1301B"/>
    <w:rsid w:val="00F173A7"/>
    <w:rsid w:val="00F725F0"/>
    <w:rsid w:val="00FA4956"/>
    <w:rsid w:val="00FD0370"/>
    <w:rsid w:val="00FD28BC"/>
    <w:rsid w:val="0955275F"/>
    <w:rsid w:val="123A0038"/>
    <w:rsid w:val="128F4840"/>
    <w:rsid w:val="161673C6"/>
    <w:rsid w:val="1C9237CF"/>
    <w:rsid w:val="1FC5361D"/>
    <w:rsid w:val="20B33208"/>
    <w:rsid w:val="20BD54EB"/>
    <w:rsid w:val="24B52BF0"/>
    <w:rsid w:val="2A916AEA"/>
    <w:rsid w:val="2B9E5CB7"/>
    <w:rsid w:val="2CDC65A8"/>
    <w:rsid w:val="30CF4CB8"/>
    <w:rsid w:val="32CD0642"/>
    <w:rsid w:val="351465F5"/>
    <w:rsid w:val="358F68D0"/>
    <w:rsid w:val="3DC02D2D"/>
    <w:rsid w:val="3E59701F"/>
    <w:rsid w:val="3F902A40"/>
    <w:rsid w:val="41F42904"/>
    <w:rsid w:val="430C25F8"/>
    <w:rsid w:val="43D72DE3"/>
    <w:rsid w:val="461A4713"/>
    <w:rsid w:val="478A7FCC"/>
    <w:rsid w:val="4C850BC2"/>
    <w:rsid w:val="58341DDD"/>
    <w:rsid w:val="58CB0C4B"/>
    <w:rsid w:val="61F20BD5"/>
    <w:rsid w:val="6200702C"/>
    <w:rsid w:val="65EF74E7"/>
    <w:rsid w:val="66EE75BD"/>
    <w:rsid w:val="67C608DC"/>
    <w:rsid w:val="69B05439"/>
    <w:rsid w:val="6CC110A1"/>
    <w:rsid w:val="6CCE29A2"/>
    <w:rsid w:val="6D9C0565"/>
    <w:rsid w:val="79094C8D"/>
    <w:rsid w:val="7A6568BB"/>
    <w:rsid w:val="7BA43945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957</Words>
  <Characters>5461</Characters>
  <Lines>45</Lines>
  <Paragraphs>12</Paragraphs>
  <TotalTime>1</TotalTime>
  <ScaleCrop>false</ScaleCrop>
  <LinksUpToDate>false</LinksUpToDate>
  <CharactersWithSpaces>6406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2020-09-28T08:21:00Z</dcterms:created>
  <dc:creator>信美人寿相互保险社</dc:creator>
  <cp:lastModifiedBy>李京津</cp:lastModifiedBy>
  <dcterms:modified xsi:type="dcterms:W3CDTF">2020-11-09T02:52:48Z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