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0" w:firstLineChars="0"/>
        <w:jc w:val="center"/>
        <w:rPr>
          <w:rFonts w:hint="eastAsia" w:ascii="微软雅黑" w:hAnsi="微软雅黑" w:eastAsia="微软雅黑"/>
          <w:b/>
          <w:sz w:val="28"/>
          <w:lang w:val="en-US" w:eastAsia="zh-CN"/>
        </w:rPr>
      </w:pPr>
      <w:r>
        <w:rPr>
          <w:rFonts w:hint="eastAsia" w:ascii="微软雅黑" w:hAnsi="微软雅黑"/>
          <w:b/>
          <w:sz w:val="28"/>
          <w:lang w:eastAsia="zh-CN"/>
        </w:rPr>
        <w:t>爱心救助账户财务计提规则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  <w:rPr>
          <w:rFonts w:hint="eastAsia"/>
        </w:rPr>
      </w:pPr>
      <w:r>
        <w:rPr>
          <w:rFonts w:hint="eastAsia"/>
        </w:rPr>
        <w:t>【版本日志</w:t>
      </w:r>
      <w:r>
        <w:t>】</w:t>
      </w:r>
    </w:p>
    <w:tbl>
      <w:tblPr>
        <w:tblStyle w:val="2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30"/>
              <w:adjustRightInd w:val="0"/>
              <w:snapToGrid w:val="0"/>
              <w:ind w:left="33" w:firstLine="0" w:firstLineChars="0"/>
              <w:rPr>
                <w:rFonts w:hint="eastAsia" w:ascii="微软雅黑" w:hAnsi="微软雅黑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【背景和目标】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目前每月需DIC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协助手工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提取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分险种的保费收入数，财务部按照市场企划部公式的计提比例计算出应计提数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，在SAP进行手工账务处理。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计算过程依赖手工，易出现差错。</w:t>
      </w:r>
    </w:p>
    <w:p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【产品详述】</w:t>
      </w:r>
    </w:p>
    <w:p>
      <w:pPr>
        <w:pStyle w:val="4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功能详述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财务计提自动化：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整体流程：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爱心救助账户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系统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提取出分险种的保费收入数据，按照市场企划部公示的计提比例计算出需要的计提数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计提数据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以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数据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报表形式，每月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第1个工作日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上午9点以邮件方式发送至市场企划部，抄送财务部。同时，在钉钉群通知预警，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每月第2个工作日前如市场企划部无异议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则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财务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生成计提账务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56718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（2）规则：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计提时分险种、分成本中心（详见SAP主数据）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期间维度：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当年存量数据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微软雅黑" w:hAnsi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计算逻辑：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计提数= 保费收入数*计提比例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记账规则：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计提：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借：业务及管理费-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爱心救助账户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（46014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0000）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   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贷：其他应付款-积分计提（22411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0000）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 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/>
          <w:bCs/>
          <w:sz w:val="21"/>
          <w:szCs w:val="21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微软雅黑" w:hAnsi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借：其他应付款-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爱心救助账户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（22411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0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00）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  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210" w:firstLineChars="10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贷：其他应收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款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爱心救助账户-使用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（12211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0000）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  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费控</w:t>
      </w:r>
      <w:r>
        <w:rPr>
          <w:rFonts w:hint="eastAsia" w:ascii="微软雅黑" w:hAnsi="微软雅黑" w:cs="微软雅黑"/>
          <w:b/>
          <w:bCs/>
          <w:sz w:val="21"/>
          <w:szCs w:val="21"/>
          <w:lang w:val="en-US" w:eastAsia="zh-CN"/>
        </w:rPr>
        <w:t>报销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（费控充值涉及的记账规则财务自行在费控系统调整）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借：其他应收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款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-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爱心救助账户-使用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（12211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0000）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  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贷：银行存款 （1002011401） 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  50</w:t>
      </w: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0E1"/>
    <w:multiLevelType w:val="singleLevel"/>
    <w:tmpl w:val="08DA30E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5493DE3"/>
    <w:multiLevelType w:val="multilevel"/>
    <w:tmpl w:val="45493DE3"/>
    <w:lvl w:ilvl="0" w:tentative="0">
      <w:start w:val="1"/>
      <w:numFmt w:val="bullet"/>
      <w:pStyle w:val="47"/>
      <w:lvlText w:val="•"/>
      <w:lvlJc w:val="left"/>
      <w:pPr>
        <w:tabs>
          <w:tab w:val="left" w:pos="0"/>
        </w:tabs>
        <w:ind w:left="360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03835FD"/>
    <w:multiLevelType w:val="multilevel"/>
    <w:tmpl w:val="503835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14"/>
    <w:rsid w:val="00005951"/>
    <w:rsid w:val="000101F3"/>
    <w:rsid w:val="000134B9"/>
    <w:rsid w:val="00014C4C"/>
    <w:rsid w:val="00022459"/>
    <w:rsid w:val="00022884"/>
    <w:rsid w:val="00024F6E"/>
    <w:rsid w:val="00026553"/>
    <w:rsid w:val="00057114"/>
    <w:rsid w:val="00075AAA"/>
    <w:rsid w:val="00082E5A"/>
    <w:rsid w:val="000871F3"/>
    <w:rsid w:val="00090DFD"/>
    <w:rsid w:val="000921E4"/>
    <w:rsid w:val="000B06B4"/>
    <w:rsid w:val="000B57B1"/>
    <w:rsid w:val="000C0BF4"/>
    <w:rsid w:val="000C4827"/>
    <w:rsid w:val="000C6371"/>
    <w:rsid w:val="000D46DA"/>
    <w:rsid w:val="000D5D77"/>
    <w:rsid w:val="000E7058"/>
    <w:rsid w:val="000F15A3"/>
    <w:rsid w:val="000F191E"/>
    <w:rsid w:val="0010322E"/>
    <w:rsid w:val="00115C0E"/>
    <w:rsid w:val="00122098"/>
    <w:rsid w:val="00125B71"/>
    <w:rsid w:val="00127A1D"/>
    <w:rsid w:val="00140441"/>
    <w:rsid w:val="0014271B"/>
    <w:rsid w:val="00160FD6"/>
    <w:rsid w:val="00163375"/>
    <w:rsid w:val="001747CF"/>
    <w:rsid w:val="00187C39"/>
    <w:rsid w:val="001960F0"/>
    <w:rsid w:val="001A25DD"/>
    <w:rsid w:val="001B1A00"/>
    <w:rsid w:val="001B44AA"/>
    <w:rsid w:val="001C5D91"/>
    <w:rsid w:val="001F39A9"/>
    <w:rsid w:val="001F3D8A"/>
    <w:rsid w:val="001F5EC8"/>
    <w:rsid w:val="002004A7"/>
    <w:rsid w:val="00203215"/>
    <w:rsid w:val="00216C16"/>
    <w:rsid w:val="00220DAB"/>
    <w:rsid w:val="00220FDA"/>
    <w:rsid w:val="002356A1"/>
    <w:rsid w:val="00251821"/>
    <w:rsid w:val="0025227C"/>
    <w:rsid w:val="00265298"/>
    <w:rsid w:val="0027482F"/>
    <w:rsid w:val="0027490D"/>
    <w:rsid w:val="002914F3"/>
    <w:rsid w:val="002A0955"/>
    <w:rsid w:val="002A3476"/>
    <w:rsid w:val="002A4F37"/>
    <w:rsid w:val="002A775D"/>
    <w:rsid w:val="002B291C"/>
    <w:rsid w:val="002B3EFD"/>
    <w:rsid w:val="002C718E"/>
    <w:rsid w:val="002C77E7"/>
    <w:rsid w:val="002D24C5"/>
    <w:rsid w:val="002D49EE"/>
    <w:rsid w:val="002D7E7B"/>
    <w:rsid w:val="002E0617"/>
    <w:rsid w:val="002F0D57"/>
    <w:rsid w:val="002F2C9C"/>
    <w:rsid w:val="00300BFE"/>
    <w:rsid w:val="00303EA0"/>
    <w:rsid w:val="00311AD8"/>
    <w:rsid w:val="003127FC"/>
    <w:rsid w:val="00312FFF"/>
    <w:rsid w:val="00313D7F"/>
    <w:rsid w:val="003264FF"/>
    <w:rsid w:val="00331500"/>
    <w:rsid w:val="00331CB2"/>
    <w:rsid w:val="00334AD5"/>
    <w:rsid w:val="003373E7"/>
    <w:rsid w:val="003423F8"/>
    <w:rsid w:val="00343C1B"/>
    <w:rsid w:val="0034754E"/>
    <w:rsid w:val="00350638"/>
    <w:rsid w:val="0035512B"/>
    <w:rsid w:val="00362372"/>
    <w:rsid w:val="003653D9"/>
    <w:rsid w:val="00385003"/>
    <w:rsid w:val="00385717"/>
    <w:rsid w:val="00391201"/>
    <w:rsid w:val="003A16CF"/>
    <w:rsid w:val="003A371B"/>
    <w:rsid w:val="003A3C5C"/>
    <w:rsid w:val="003A4B53"/>
    <w:rsid w:val="003B5CDE"/>
    <w:rsid w:val="003C0ED3"/>
    <w:rsid w:val="003C12D3"/>
    <w:rsid w:val="003C1422"/>
    <w:rsid w:val="003C2257"/>
    <w:rsid w:val="003C5425"/>
    <w:rsid w:val="003D7D9C"/>
    <w:rsid w:val="003E6674"/>
    <w:rsid w:val="003F16E9"/>
    <w:rsid w:val="003F3A52"/>
    <w:rsid w:val="0042163E"/>
    <w:rsid w:val="004249C9"/>
    <w:rsid w:val="00425FC6"/>
    <w:rsid w:val="0043437A"/>
    <w:rsid w:val="0043439E"/>
    <w:rsid w:val="004376C1"/>
    <w:rsid w:val="00443CBF"/>
    <w:rsid w:val="00452C90"/>
    <w:rsid w:val="0045363A"/>
    <w:rsid w:val="00466ED8"/>
    <w:rsid w:val="0047724E"/>
    <w:rsid w:val="00481AA1"/>
    <w:rsid w:val="004822F0"/>
    <w:rsid w:val="00485209"/>
    <w:rsid w:val="004959D7"/>
    <w:rsid w:val="004A28F6"/>
    <w:rsid w:val="004A4529"/>
    <w:rsid w:val="004A4708"/>
    <w:rsid w:val="004A615E"/>
    <w:rsid w:val="004A75DF"/>
    <w:rsid w:val="004B1C88"/>
    <w:rsid w:val="004B2D41"/>
    <w:rsid w:val="004D6F4A"/>
    <w:rsid w:val="004E1614"/>
    <w:rsid w:val="004E2918"/>
    <w:rsid w:val="004E506D"/>
    <w:rsid w:val="004F2040"/>
    <w:rsid w:val="005046D3"/>
    <w:rsid w:val="00505800"/>
    <w:rsid w:val="005208E3"/>
    <w:rsid w:val="005230D9"/>
    <w:rsid w:val="00524EA5"/>
    <w:rsid w:val="00526F43"/>
    <w:rsid w:val="00527BE4"/>
    <w:rsid w:val="00530577"/>
    <w:rsid w:val="005368D1"/>
    <w:rsid w:val="00536AA7"/>
    <w:rsid w:val="00543E27"/>
    <w:rsid w:val="005451F6"/>
    <w:rsid w:val="00546060"/>
    <w:rsid w:val="005543B7"/>
    <w:rsid w:val="00561496"/>
    <w:rsid w:val="0056454A"/>
    <w:rsid w:val="0057411E"/>
    <w:rsid w:val="00574702"/>
    <w:rsid w:val="00576C48"/>
    <w:rsid w:val="00577459"/>
    <w:rsid w:val="00582E18"/>
    <w:rsid w:val="00586046"/>
    <w:rsid w:val="005912D9"/>
    <w:rsid w:val="005978D1"/>
    <w:rsid w:val="005A0E93"/>
    <w:rsid w:val="005A4CA9"/>
    <w:rsid w:val="005B109D"/>
    <w:rsid w:val="005B701F"/>
    <w:rsid w:val="005C072A"/>
    <w:rsid w:val="005D036B"/>
    <w:rsid w:val="005D59EB"/>
    <w:rsid w:val="00600562"/>
    <w:rsid w:val="006245A7"/>
    <w:rsid w:val="006433EA"/>
    <w:rsid w:val="00643D39"/>
    <w:rsid w:val="0065205B"/>
    <w:rsid w:val="0065450A"/>
    <w:rsid w:val="006623A5"/>
    <w:rsid w:val="00663EE3"/>
    <w:rsid w:val="00665444"/>
    <w:rsid w:val="00670776"/>
    <w:rsid w:val="00672947"/>
    <w:rsid w:val="006742FD"/>
    <w:rsid w:val="006834C8"/>
    <w:rsid w:val="0068651D"/>
    <w:rsid w:val="006874A0"/>
    <w:rsid w:val="00690D22"/>
    <w:rsid w:val="00692B1C"/>
    <w:rsid w:val="006A4FB0"/>
    <w:rsid w:val="006A7AB8"/>
    <w:rsid w:val="006B497B"/>
    <w:rsid w:val="006C21A3"/>
    <w:rsid w:val="006C35FC"/>
    <w:rsid w:val="006D4290"/>
    <w:rsid w:val="006D53BA"/>
    <w:rsid w:val="006E40ED"/>
    <w:rsid w:val="006F1D0E"/>
    <w:rsid w:val="006F291B"/>
    <w:rsid w:val="007050F1"/>
    <w:rsid w:val="00714D78"/>
    <w:rsid w:val="00726533"/>
    <w:rsid w:val="00733152"/>
    <w:rsid w:val="00741133"/>
    <w:rsid w:val="00743B05"/>
    <w:rsid w:val="0075354B"/>
    <w:rsid w:val="00753F47"/>
    <w:rsid w:val="00764357"/>
    <w:rsid w:val="007724E5"/>
    <w:rsid w:val="00776C4F"/>
    <w:rsid w:val="007865DC"/>
    <w:rsid w:val="007909C4"/>
    <w:rsid w:val="007A13E0"/>
    <w:rsid w:val="007B4D5B"/>
    <w:rsid w:val="007B4E28"/>
    <w:rsid w:val="007C562E"/>
    <w:rsid w:val="007C7883"/>
    <w:rsid w:val="007E3642"/>
    <w:rsid w:val="007F5DDB"/>
    <w:rsid w:val="007F6AB6"/>
    <w:rsid w:val="00801BE7"/>
    <w:rsid w:val="008038D4"/>
    <w:rsid w:val="00807720"/>
    <w:rsid w:val="00810F4A"/>
    <w:rsid w:val="00816A83"/>
    <w:rsid w:val="008235B1"/>
    <w:rsid w:val="00833047"/>
    <w:rsid w:val="008346B1"/>
    <w:rsid w:val="008403F7"/>
    <w:rsid w:val="008529F1"/>
    <w:rsid w:val="0086201E"/>
    <w:rsid w:val="0086682F"/>
    <w:rsid w:val="00867482"/>
    <w:rsid w:val="008720A9"/>
    <w:rsid w:val="00883B3E"/>
    <w:rsid w:val="008861D6"/>
    <w:rsid w:val="008971FC"/>
    <w:rsid w:val="008A6E0C"/>
    <w:rsid w:val="008B1E2B"/>
    <w:rsid w:val="008B21F3"/>
    <w:rsid w:val="008B48AB"/>
    <w:rsid w:val="008B5BF0"/>
    <w:rsid w:val="008B60BA"/>
    <w:rsid w:val="008C1EF5"/>
    <w:rsid w:val="008D6AD0"/>
    <w:rsid w:val="008E12AE"/>
    <w:rsid w:val="008E763E"/>
    <w:rsid w:val="008F0FB3"/>
    <w:rsid w:val="008F4994"/>
    <w:rsid w:val="009048D8"/>
    <w:rsid w:val="009155D6"/>
    <w:rsid w:val="00917150"/>
    <w:rsid w:val="0093264E"/>
    <w:rsid w:val="009523CA"/>
    <w:rsid w:val="00952916"/>
    <w:rsid w:val="00955531"/>
    <w:rsid w:val="0096680B"/>
    <w:rsid w:val="00967558"/>
    <w:rsid w:val="009775C5"/>
    <w:rsid w:val="00984104"/>
    <w:rsid w:val="0098460C"/>
    <w:rsid w:val="00991608"/>
    <w:rsid w:val="009A6921"/>
    <w:rsid w:val="009B114B"/>
    <w:rsid w:val="009C0975"/>
    <w:rsid w:val="009D7333"/>
    <w:rsid w:val="009F282B"/>
    <w:rsid w:val="00A004C7"/>
    <w:rsid w:val="00A00D0A"/>
    <w:rsid w:val="00A0499C"/>
    <w:rsid w:val="00A07B6D"/>
    <w:rsid w:val="00A11B8A"/>
    <w:rsid w:val="00A20396"/>
    <w:rsid w:val="00A235F0"/>
    <w:rsid w:val="00A26A25"/>
    <w:rsid w:val="00A31A41"/>
    <w:rsid w:val="00A323BB"/>
    <w:rsid w:val="00A3329A"/>
    <w:rsid w:val="00A3493B"/>
    <w:rsid w:val="00A36460"/>
    <w:rsid w:val="00A51152"/>
    <w:rsid w:val="00A530C2"/>
    <w:rsid w:val="00A613E0"/>
    <w:rsid w:val="00A6558F"/>
    <w:rsid w:val="00A70B67"/>
    <w:rsid w:val="00A71692"/>
    <w:rsid w:val="00A71BA6"/>
    <w:rsid w:val="00A7733A"/>
    <w:rsid w:val="00A81306"/>
    <w:rsid w:val="00A841E5"/>
    <w:rsid w:val="00A858EC"/>
    <w:rsid w:val="00A87CC2"/>
    <w:rsid w:val="00A919AC"/>
    <w:rsid w:val="00A949A0"/>
    <w:rsid w:val="00AA07ED"/>
    <w:rsid w:val="00AA20BB"/>
    <w:rsid w:val="00AB1EFF"/>
    <w:rsid w:val="00AC158B"/>
    <w:rsid w:val="00AD21BA"/>
    <w:rsid w:val="00AD6807"/>
    <w:rsid w:val="00AD6B5B"/>
    <w:rsid w:val="00B00F1B"/>
    <w:rsid w:val="00B04A9C"/>
    <w:rsid w:val="00B05522"/>
    <w:rsid w:val="00B07882"/>
    <w:rsid w:val="00B153FF"/>
    <w:rsid w:val="00B21AFD"/>
    <w:rsid w:val="00B21D28"/>
    <w:rsid w:val="00B33987"/>
    <w:rsid w:val="00B362F7"/>
    <w:rsid w:val="00B446FA"/>
    <w:rsid w:val="00B50F5B"/>
    <w:rsid w:val="00B55566"/>
    <w:rsid w:val="00B55AC5"/>
    <w:rsid w:val="00B56D1C"/>
    <w:rsid w:val="00B71EC4"/>
    <w:rsid w:val="00B846C0"/>
    <w:rsid w:val="00B85A08"/>
    <w:rsid w:val="00B85A35"/>
    <w:rsid w:val="00B86492"/>
    <w:rsid w:val="00B95E11"/>
    <w:rsid w:val="00BB6252"/>
    <w:rsid w:val="00BC2396"/>
    <w:rsid w:val="00BC4910"/>
    <w:rsid w:val="00BC7C01"/>
    <w:rsid w:val="00BE0403"/>
    <w:rsid w:val="00BE4EB5"/>
    <w:rsid w:val="00BF36DD"/>
    <w:rsid w:val="00BF44BA"/>
    <w:rsid w:val="00C10A3E"/>
    <w:rsid w:val="00C13DD1"/>
    <w:rsid w:val="00C1746A"/>
    <w:rsid w:val="00C20942"/>
    <w:rsid w:val="00C20D94"/>
    <w:rsid w:val="00C275BF"/>
    <w:rsid w:val="00C3181E"/>
    <w:rsid w:val="00C31A4E"/>
    <w:rsid w:val="00C3622A"/>
    <w:rsid w:val="00C40352"/>
    <w:rsid w:val="00C42FC9"/>
    <w:rsid w:val="00C442DB"/>
    <w:rsid w:val="00C5790D"/>
    <w:rsid w:val="00C62068"/>
    <w:rsid w:val="00C6652E"/>
    <w:rsid w:val="00C70C18"/>
    <w:rsid w:val="00C80DD4"/>
    <w:rsid w:val="00C833EC"/>
    <w:rsid w:val="00C84035"/>
    <w:rsid w:val="00C937A3"/>
    <w:rsid w:val="00CB19F0"/>
    <w:rsid w:val="00CB4206"/>
    <w:rsid w:val="00CB6716"/>
    <w:rsid w:val="00CB6A9E"/>
    <w:rsid w:val="00CB6FBB"/>
    <w:rsid w:val="00CC65FA"/>
    <w:rsid w:val="00CC6643"/>
    <w:rsid w:val="00CD37D2"/>
    <w:rsid w:val="00CD67F2"/>
    <w:rsid w:val="00CD73F1"/>
    <w:rsid w:val="00CE57A0"/>
    <w:rsid w:val="00D01803"/>
    <w:rsid w:val="00D109C1"/>
    <w:rsid w:val="00D26A4A"/>
    <w:rsid w:val="00D2708E"/>
    <w:rsid w:val="00D27984"/>
    <w:rsid w:val="00D27B13"/>
    <w:rsid w:val="00D31966"/>
    <w:rsid w:val="00D3244B"/>
    <w:rsid w:val="00D404F1"/>
    <w:rsid w:val="00D54EA1"/>
    <w:rsid w:val="00D55E57"/>
    <w:rsid w:val="00D63A76"/>
    <w:rsid w:val="00D65D63"/>
    <w:rsid w:val="00D66875"/>
    <w:rsid w:val="00D6739B"/>
    <w:rsid w:val="00D67EE5"/>
    <w:rsid w:val="00D70A32"/>
    <w:rsid w:val="00D7184D"/>
    <w:rsid w:val="00D71FF6"/>
    <w:rsid w:val="00D73932"/>
    <w:rsid w:val="00D809AA"/>
    <w:rsid w:val="00D86DC5"/>
    <w:rsid w:val="00D91438"/>
    <w:rsid w:val="00D96669"/>
    <w:rsid w:val="00DA0807"/>
    <w:rsid w:val="00DB5A0D"/>
    <w:rsid w:val="00DC1689"/>
    <w:rsid w:val="00DC3408"/>
    <w:rsid w:val="00DC5275"/>
    <w:rsid w:val="00DD0433"/>
    <w:rsid w:val="00DD4CC3"/>
    <w:rsid w:val="00DE0293"/>
    <w:rsid w:val="00DF0463"/>
    <w:rsid w:val="00DF1D3E"/>
    <w:rsid w:val="00E060B7"/>
    <w:rsid w:val="00E168AB"/>
    <w:rsid w:val="00E252F3"/>
    <w:rsid w:val="00E333ED"/>
    <w:rsid w:val="00E465C6"/>
    <w:rsid w:val="00E50482"/>
    <w:rsid w:val="00E54BF8"/>
    <w:rsid w:val="00E550A4"/>
    <w:rsid w:val="00E621D8"/>
    <w:rsid w:val="00E6282B"/>
    <w:rsid w:val="00E649C0"/>
    <w:rsid w:val="00E7260E"/>
    <w:rsid w:val="00E74FAC"/>
    <w:rsid w:val="00E84DA6"/>
    <w:rsid w:val="00E91586"/>
    <w:rsid w:val="00E92540"/>
    <w:rsid w:val="00E92C27"/>
    <w:rsid w:val="00E93101"/>
    <w:rsid w:val="00E96890"/>
    <w:rsid w:val="00EA142B"/>
    <w:rsid w:val="00EA2258"/>
    <w:rsid w:val="00EA5749"/>
    <w:rsid w:val="00EC2920"/>
    <w:rsid w:val="00ED102F"/>
    <w:rsid w:val="00ED1BF5"/>
    <w:rsid w:val="00ED1D75"/>
    <w:rsid w:val="00ED1E90"/>
    <w:rsid w:val="00ED2AFF"/>
    <w:rsid w:val="00EE0585"/>
    <w:rsid w:val="00EF3254"/>
    <w:rsid w:val="00EF367D"/>
    <w:rsid w:val="00EF60AA"/>
    <w:rsid w:val="00F02310"/>
    <w:rsid w:val="00F06064"/>
    <w:rsid w:val="00F14801"/>
    <w:rsid w:val="00F4006A"/>
    <w:rsid w:val="00F43084"/>
    <w:rsid w:val="00F447E6"/>
    <w:rsid w:val="00F52D04"/>
    <w:rsid w:val="00F73FC6"/>
    <w:rsid w:val="00F748F0"/>
    <w:rsid w:val="00F95D35"/>
    <w:rsid w:val="00FA4C42"/>
    <w:rsid w:val="00FB1571"/>
    <w:rsid w:val="00FC0BCE"/>
    <w:rsid w:val="00FD2A3A"/>
    <w:rsid w:val="00FD481C"/>
    <w:rsid w:val="00FE2908"/>
    <w:rsid w:val="00FE36FC"/>
    <w:rsid w:val="00FE5E16"/>
    <w:rsid w:val="00FF5BC5"/>
    <w:rsid w:val="08D076FB"/>
    <w:rsid w:val="09DD4814"/>
    <w:rsid w:val="0B4560BE"/>
    <w:rsid w:val="0D8921E1"/>
    <w:rsid w:val="0F553534"/>
    <w:rsid w:val="0FED6564"/>
    <w:rsid w:val="122913E9"/>
    <w:rsid w:val="1371492A"/>
    <w:rsid w:val="13BD510C"/>
    <w:rsid w:val="13FB3B1F"/>
    <w:rsid w:val="160122E1"/>
    <w:rsid w:val="161577A6"/>
    <w:rsid w:val="1B7F44AE"/>
    <w:rsid w:val="1D535930"/>
    <w:rsid w:val="1DEB4C70"/>
    <w:rsid w:val="205A7E8F"/>
    <w:rsid w:val="22F873C9"/>
    <w:rsid w:val="24E65A02"/>
    <w:rsid w:val="28197BE7"/>
    <w:rsid w:val="2D4C33AC"/>
    <w:rsid w:val="30DE01A2"/>
    <w:rsid w:val="311236A6"/>
    <w:rsid w:val="391958EC"/>
    <w:rsid w:val="3ADD32A2"/>
    <w:rsid w:val="3AE704A7"/>
    <w:rsid w:val="3B54074E"/>
    <w:rsid w:val="40224633"/>
    <w:rsid w:val="42FB748D"/>
    <w:rsid w:val="433B352C"/>
    <w:rsid w:val="4CD96ACE"/>
    <w:rsid w:val="559704DF"/>
    <w:rsid w:val="5620281E"/>
    <w:rsid w:val="5AFE70D8"/>
    <w:rsid w:val="5DA541B8"/>
    <w:rsid w:val="5DEE1560"/>
    <w:rsid w:val="5E7F21D2"/>
    <w:rsid w:val="5ED81CCA"/>
    <w:rsid w:val="61365201"/>
    <w:rsid w:val="62397900"/>
    <w:rsid w:val="63BB0A7C"/>
    <w:rsid w:val="6958025A"/>
    <w:rsid w:val="6FAC5797"/>
    <w:rsid w:val="700E24D5"/>
    <w:rsid w:val="72C332FC"/>
    <w:rsid w:val="72E62085"/>
    <w:rsid w:val="73E35144"/>
    <w:rsid w:val="76F6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7" w:lineRule="auto"/>
      <w:ind w:firstLine="350" w:firstLineChars="350"/>
      <w:outlineLvl w:val="3"/>
    </w:pPr>
    <w:rPr>
      <w:rFonts w:eastAsia="黑体" w:asciiTheme="majorHAnsi" w:hAnsiTheme="majorHAnsi" w:cstheme="majorBidi"/>
      <w:b/>
      <w:bCs/>
      <w:sz w:val="21"/>
      <w:szCs w:val="28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080"/>
      <w:jc w:val="left"/>
    </w:pPr>
    <w:rPr>
      <w:szCs w:val="18"/>
    </w:rPr>
  </w:style>
  <w:style w:type="paragraph" w:styleId="7">
    <w:name w:val="annotation text"/>
    <w:basedOn w:val="1"/>
    <w:link w:val="41"/>
    <w:semiHidden/>
    <w:unhideWhenUsed/>
    <w:qFormat/>
    <w:uiPriority w:val="99"/>
    <w:pPr>
      <w:jc w:val="left"/>
    </w:pPr>
  </w:style>
  <w:style w:type="paragraph" w:styleId="8">
    <w:name w:val="toc 5"/>
    <w:basedOn w:val="1"/>
    <w:next w:val="1"/>
    <w:unhideWhenUsed/>
    <w:qFormat/>
    <w:uiPriority w:val="39"/>
    <w:pPr>
      <w:ind w:left="720"/>
      <w:jc w:val="left"/>
    </w:pPr>
    <w:rPr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360"/>
      <w:jc w:val="left"/>
    </w:pPr>
    <w:rPr>
      <w:i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ind w:left="1260"/>
      <w:jc w:val="left"/>
    </w:pPr>
    <w:rPr>
      <w:szCs w:val="18"/>
    </w:rPr>
  </w:style>
  <w:style w:type="paragraph" w:styleId="11">
    <w:name w:val="Date"/>
    <w:basedOn w:val="1"/>
    <w:next w:val="1"/>
    <w:link w:val="31"/>
    <w:semiHidden/>
    <w:unhideWhenUsed/>
    <w:qFormat/>
    <w:uiPriority w:val="99"/>
    <w:pPr>
      <w:ind w:left="100" w:leftChars="2500"/>
    </w:pPr>
  </w:style>
  <w:style w:type="paragraph" w:styleId="12">
    <w:name w:val="Balloon Text"/>
    <w:basedOn w:val="1"/>
    <w:link w:val="35"/>
    <w:semiHidden/>
    <w:unhideWhenUsed/>
    <w:qFormat/>
    <w:uiPriority w:val="99"/>
    <w:rPr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4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5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6">
    <w:name w:val="toc 4"/>
    <w:basedOn w:val="1"/>
    <w:next w:val="1"/>
    <w:unhideWhenUsed/>
    <w:qFormat/>
    <w:uiPriority w:val="39"/>
    <w:pPr>
      <w:ind w:left="540"/>
      <w:jc w:val="left"/>
    </w:pPr>
    <w:rPr>
      <w:szCs w:val="18"/>
    </w:rPr>
  </w:style>
  <w:style w:type="paragraph" w:styleId="17">
    <w:name w:val="toc 6"/>
    <w:basedOn w:val="1"/>
    <w:next w:val="1"/>
    <w:unhideWhenUsed/>
    <w:qFormat/>
    <w:uiPriority w:val="39"/>
    <w:pPr>
      <w:ind w:left="900"/>
      <w:jc w:val="left"/>
    </w:pPr>
    <w:rPr>
      <w:szCs w:val="18"/>
    </w:rPr>
  </w:style>
  <w:style w:type="paragraph" w:styleId="18">
    <w:name w:val="toc 2"/>
    <w:basedOn w:val="1"/>
    <w:next w:val="1"/>
    <w:unhideWhenUsed/>
    <w:qFormat/>
    <w:uiPriority w:val="39"/>
    <w:pPr>
      <w:ind w:left="180"/>
      <w:jc w:val="left"/>
    </w:pPr>
    <w:rPr>
      <w:smallCaps/>
      <w:sz w:val="20"/>
      <w:szCs w:val="20"/>
    </w:rPr>
  </w:style>
  <w:style w:type="paragraph" w:styleId="19">
    <w:name w:val="toc 9"/>
    <w:basedOn w:val="1"/>
    <w:next w:val="1"/>
    <w:unhideWhenUsed/>
    <w:qFormat/>
    <w:uiPriority w:val="39"/>
    <w:pPr>
      <w:ind w:left="1440"/>
      <w:jc w:val="left"/>
    </w:pPr>
    <w:rPr>
      <w:szCs w:val="18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annotation subject"/>
    <w:basedOn w:val="7"/>
    <w:next w:val="7"/>
    <w:link w:val="42"/>
    <w:semiHidden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FollowedHyperlink"/>
    <w:basedOn w:val="2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4"/>
    <w:semiHidden/>
    <w:unhideWhenUsed/>
    <w:qFormat/>
    <w:uiPriority w:val="99"/>
    <w:rPr>
      <w:sz w:val="21"/>
      <w:szCs w:val="21"/>
    </w:rPr>
  </w:style>
  <w:style w:type="character" w:customStyle="1" w:styleId="28">
    <w:name w:val="页眉 字符"/>
    <w:basedOn w:val="24"/>
    <w:link w:val="14"/>
    <w:qFormat/>
    <w:uiPriority w:val="99"/>
    <w:rPr>
      <w:sz w:val="18"/>
      <w:szCs w:val="18"/>
    </w:rPr>
  </w:style>
  <w:style w:type="character" w:customStyle="1" w:styleId="29">
    <w:name w:val="页脚 字符"/>
    <w:basedOn w:val="24"/>
    <w:link w:val="13"/>
    <w:qFormat/>
    <w:uiPriority w:val="99"/>
    <w:rPr>
      <w:sz w:val="18"/>
      <w:szCs w:val="18"/>
    </w:rPr>
  </w:style>
  <w:style w:type="paragraph" w:styleId="30">
    <w:name w:val="List Paragraph"/>
    <w:basedOn w:val="1"/>
    <w:link w:val="39"/>
    <w:qFormat/>
    <w:uiPriority w:val="34"/>
    <w:pPr>
      <w:ind w:firstLine="420"/>
    </w:pPr>
  </w:style>
  <w:style w:type="character" w:customStyle="1" w:styleId="31">
    <w:name w:val="日期 字符"/>
    <w:basedOn w:val="24"/>
    <w:link w:val="11"/>
    <w:semiHidden/>
    <w:qFormat/>
    <w:uiPriority w:val="99"/>
  </w:style>
  <w:style w:type="character" w:customStyle="1" w:styleId="32">
    <w:name w:val="标题 1 字符"/>
    <w:basedOn w:val="24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33">
    <w:name w:val="标题 2 字符"/>
    <w:basedOn w:val="24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34">
    <w:name w:val="标题 3 字符"/>
    <w:basedOn w:val="24"/>
    <w:link w:val="4"/>
    <w:qFormat/>
    <w:uiPriority w:val="9"/>
    <w:rPr>
      <w:rFonts w:eastAsia="黑体"/>
      <w:b/>
      <w:bCs/>
      <w:szCs w:val="32"/>
    </w:rPr>
  </w:style>
  <w:style w:type="character" w:customStyle="1" w:styleId="35">
    <w:name w:val="批注框文本 字符"/>
    <w:basedOn w:val="24"/>
    <w:link w:val="12"/>
    <w:semiHidden/>
    <w:qFormat/>
    <w:uiPriority w:val="99"/>
    <w:rPr>
      <w:sz w:val="18"/>
      <w:szCs w:val="18"/>
    </w:rPr>
  </w:style>
  <w:style w:type="character" w:customStyle="1" w:styleId="36">
    <w:name w:val="标题 4 字符"/>
    <w:basedOn w:val="24"/>
    <w:link w:val="5"/>
    <w:qFormat/>
    <w:uiPriority w:val="9"/>
    <w:rPr>
      <w:rFonts w:eastAsia="黑体" w:asciiTheme="majorHAnsi" w:hAnsiTheme="majorHAnsi" w:cstheme="majorBidi"/>
      <w:b/>
      <w:bCs/>
      <w:szCs w:val="28"/>
    </w:rPr>
  </w:style>
  <w:style w:type="character" w:customStyle="1" w:styleId="37">
    <w:name w:val="apple-converted-space"/>
    <w:basedOn w:val="24"/>
    <w:qFormat/>
    <w:uiPriority w:val="0"/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9">
    <w:name w:val="列表段落 字符"/>
    <w:basedOn w:val="24"/>
    <w:link w:val="30"/>
    <w:qFormat/>
    <w:locked/>
    <w:uiPriority w:val="34"/>
    <w:rPr>
      <w:rFonts w:eastAsia="微软雅黑"/>
      <w:sz w:val="18"/>
    </w:rPr>
  </w:style>
  <w:style w:type="paragraph" w:customStyle="1" w:styleId="40">
    <w:name w:val="注意和强调"/>
    <w:basedOn w:val="1"/>
    <w:next w:val="1"/>
    <w:qFormat/>
    <w:uiPriority w:val="0"/>
    <w:pPr>
      <w:pBdr>
        <w:left w:val="single" w:color="999999" w:sz="36" w:space="4"/>
      </w:pBdr>
      <w:tabs>
        <w:tab w:val="left" w:pos="360"/>
      </w:tabs>
      <w:spacing w:before="183" w:beforeLines="30" w:after="183" w:afterLines="30"/>
      <w:ind w:left="360" w:firstLine="0" w:firstLineChars="0"/>
    </w:pPr>
    <w:rPr>
      <w:rFonts w:ascii="微软雅黑" w:hAnsi="微软雅黑" w:cs="Times New Roman"/>
      <w:color w:val="333399"/>
      <w:sz w:val="21"/>
      <w:szCs w:val="21"/>
    </w:rPr>
  </w:style>
  <w:style w:type="character" w:customStyle="1" w:styleId="41">
    <w:name w:val="批注文字 字符"/>
    <w:basedOn w:val="24"/>
    <w:link w:val="7"/>
    <w:semiHidden/>
    <w:qFormat/>
    <w:uiPriority w:val="99"/>
    <w:rPr>
      <w:rFonts w:eastAsia="微软雅黑"/>
      <w:sz w:val="18"/>
    </w:rPr>
  </w:style>
  <w:style w:type="character" w:customStyle="1" w:styleId="42">
    <w:name w:val="批注主题 字符"/>
    <w:basedOn w:val="41"/>
    <w:link w:val="21"/>
    <w:semiHidden/>
    <w:qFormat/>
    <w:uiPriority w:val="99"/>
    <w:rPr>
      <w:rFonts w:eastAsia="微软雅黑"/>
      <w:b/>
      <w:bCs/>
      <w:sz w:val="18"/>
    </w:rPr>
  </w:style>
  <w:style w:type="paragraph" w:styleId="43">
    <w:name w:val="No Spacing"/>
    <w:qFormat/>
    <w:uiPriority w:val="1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4">
    <w:name w:val="Guide"/>
    <w:basedOn w:val="1"/>
    <w:link w:val="45"/>
    <w:qFormat/>
    <w:uiPriority w:val="0"/>
    <w:pPr>
      <w:ind w:firstLine="0" w:firstLineChars="0"/>
      <w:jc w:val="left"/>
    </w:pPr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character" w:customStyle="1" w:styleId="45">
    <w:name w:val="Guide Char"/>
    <w:link w:val="44"/>
    <w:qFormat/>
    <w:uiPriority w:val="0"/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paragraph" w:customStyle="1" w:styleId="46">
    <w:name w:val="Revision"/>
    <w:hidden/>
    <w:semiHidden/>
    <w:qFormat/>
    <w:uiPriority w:val="99"/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7">
    <w:name w:val="Bullet 1"/>
    <w:basedOn w:val="1"/>
    <w:qFormat/>
    <w:uiPriority w:val="0"/>
    <w:pPr>
      <w:numPr>
        <w:ilvl w:val="0"/>
        <w:numId w:val="2"/>
      </w:numPr>
      <w:tabs>
        <w:tab w:val="left" w:pos="357"/>
      </w:tabs>
      <w:ind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48">
    <w:name w:val="Guide-Bullet"/>
    <w:basedOn w:val="47"/>
    <w:qFormat/>
    <w:uiPriority w:val="0"/>
    <w:rPr>
      <w:i/>
      <w:iCs/>
      <w:color w:val="0000FF"/>
      <w:lang w:val="en-AU"/>
    </w:rPr>
  </w:style>
  <w:style w:type="paragraph" w:customStyle="1" w:styleId="49">
    <w:name w:val="_Style 48"/>
    <w:basedOn w:val="1"/>
    <w:next w:val="30"/>
    <w:qFormat/>
    <w:uiPriority w:val="34"/>
    <w:pPr>
      <w:ind w:left="720"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50">
    <w:name w:val="列出段落3"/>
    <w:basedOn w:val="1"/>
    <w:qFormat/>
    <w:uiPriority w:val="34"/>
    <w:pPr>
      <w:ind w:firstLine="420"/>
      <w:jc w:val="left"/>
    </w:pPr>
    <w:rPr>
      <w:rFonts w:ascii="Arial" w:hAnsi="Arial" w:eastAsia="宋体" w:cs="Times New Roman"/>
      <w:sz w:val="20"/>
      <w:szCs w:val="20"/>
    </w:rPr>
  </w:style>
  <w:style w:type="character" w:customStyle="1" w:styleId="51">
    <w:name w:val="Unresolved Mention"/>
    <w:basedOn w:val="2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7A5B94-67D3-CD4A-A830-B98AA71819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航旅纵横</Company>
  <Pages>6</Pages>
  <Words>93</Words>
  <Characters>533</Characters>
  <Lines>4</Lines>
  <Paragraphs>1</Paragraphs>
  <TotalTime>15</TotalTime>
  <ScaleCrop>false</ScaleCrop>
  <LinksUpToDate>false</LinksUpToDate>
  <CharactersWithSpaces>625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2018-12-17T02:14:00Z</dcterms:created>
  <dc:creator>张晶</dc:creator>
  <cp:lastModifiedBy>李京津</cp:lastModifiedBy>
  <dcterms:modified xsi:type="dcterms:W3CDTF">2020-08-10T07:06:35Z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