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 w:eastAsia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通联对接浦发、民生银行对账规则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numPr>
          <w:ilvl w:val="0"/>
          <w:numId w:val="0"/>
        </w:numPr>
        <w:ind w:firstLine="420" w:firstLineChars="200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我社</w:t>
      </w:r>
      <w:r>
        <w:rPr>
          <w:rFonts w:hint="eastAsia" w:ascii="微软雅黑" w:hAnsi="微软雅黑" w:cs="微软雅黑"/>
          <w:color w:val="auto"/>
          <w:sz w:val="21"/>
          <w:szCs w:val="21"/>
          <w:lang w:eastAsia="zh-CN"/>
        </w:rPr>
        <w:t>与通联渠道对接的银企直联代收产品上线后，通过其对接的各银行已陆续投入使用且稳定运行。根据浦发、民生银行的银行流水账单字段规则，本次主要针对浦发、民生两个银行账户提出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ZA、ZD对账规则需求申请。</w:t>
      </w:r>
    </w:p>
    <w:p>
      <w:pPr>
        <w:pStyle w:val="2"/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产品概述 </w:t>
      </w:r>
    </w:p>
    <w:p>
      <w:pPr>
        <w:pStyle w:val="3"/>
        <w:numPr>
          <w:ilvl w:val="1"/>
          <w:numId w:val="3"/>
        </w:numP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需求内容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功能简述：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（1）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民生银行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保费收入户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【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账号：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632296922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】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ZA对账规则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：</w:t>
      </w:r>
    </w:p>
    <w:p>
      <w:pPr>
        <w:ind w:firstLine="360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【日汇总对账】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民生银行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T+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清算资金，按日汇总划付。</w:t>
      </w:r>
    </w:p>
    <w:p>
      <w:pPr>
        <w:ind w:firstLine="36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民生银行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交易流水表按交易日期（格式：YYYY-MM-DD）汇总交易总金额 与账单信息中【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摘要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】字段取值为【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【交易日期008】收付易本行代收资金结算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】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（例如：【20201216008】收付易本行代收资金结算）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账单交易日期（格式：YYYY-MM-DD）（此处的账单日期找交易流水的T＋1日，T为工作日）的【贷方】字段的金额匹配是否一致，若一致且有大于1条数据时随机匹配一条标记为对账已经平账，匹配不一致则标记为已对账未平账。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200"/>
        <w:rPr>
          <w:rFonts w:hint="eastAsia" w:ascii="微软雅黑" w:hAnsi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color w:val="auto"/>
          <w:sz w:val="21"/>
          <w:szCs w:val="21"/>
          <w:lang w:eastAsia="zh-CN"/>
        </w:rPr>
        <w:t>浦发银行收入户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账号：75170078801900000548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】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ZA对账规则：</w:t>
      </w:r>
    </w:p>
    <w:p>
      <w:pPr>
        <w:ind w:firstLine="36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【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按三要素对账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】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交易户名、卡号、金额与银行账单中户名、卡号、金额进行匹配是否一致，若一致且有大于1条数据时随机匹配一条标记为对账已经平账，匹配不一致则标记为已对账未平账。</w:t>
      </w:r>
    </w:p>
    <w:p>
      <w:pPr>
        <w:numPr>
          <w:ilvl w:val="0"/>
          <w:numId w:val="4"/>
        </w:numPr>
        <w:ind w:firstLine="420" w:firstLineChars="200"/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ZD对账规则：</w:t>
      </w:r>
    </w:p>
    <w:p>
      <w:pPr>
        <w:ind w:firstLine="36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适用场景：结息、结算费、资金调拨</w:t>
      </w:r>
    </w:p>
    <w:p>
      <w:pPr>
        <w:ind w:firstLine="36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银行账单对账码与SAP对账码一致且 银行账单收入金额与SAP借方发生额（收） / 银行账单支出金额与SAP贷方发生额（支）一致 时标记为已对账已平账，否则标记为已对账未平账。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（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）如无法自动对账，则在FMP</w:t>
      </w:r>
      <w:r>
        <w:rPr>
          <w:rFonts w:hint="eastAsia" w:ascii="微软雅黑" w:hAnsi="微软雅黑" w:cs="微软雅黑"/>
          <w:color w:val="auto"/>
          <w:sz w:val="21"/>
          <w:szCs w:val="21"/>
          <w:lang w:val="en-US" w:eastAsia="zh-CN"/>
        </w:rPr>
        <w:t>将凭证与银行流水勾选后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进行“手工对账”。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E5B0F"/>
    <w:multiLevelType w:val="singleLevel"/>
    <w:tmpl w:val="7F5E5B0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0955275F"/>
    <w:rsid w:val="123A0038"/>
    <w:rsid w:val="128F4840"/>
    <w:rsid w:val="14B346F2"/>
    <w:rsid w:val="161673C6"/>
    <w:rsid w:val="196F1D7D"/>
    <w:rsid w:val="1C9237CF"/>
    <w:rsid w:val="1FC5361D"/>
    <w:rsid w:val="20B33208"/>
    <w:rsid w:val="20BD54EB"/>
    <w:rsid w:val="24B52BF0"/>
    <w:rsid w:val="24DA463F"/>
    <w:rsid w:val="2A916AEA"/>
    <w:rsid w:val="2B9E5CB7"/>
    <w:rsid w:val="2CDC65A8"/>
    <w:rsid w:val="300A3EAC"/>
    <w:rsid w:val="30CF4CB8"/>
    <w:rsid w:val="32CD0642"/>
    <w:rsid w:val="351465F5"/>
    <w:rsid w:val="358F68D0"/>
    <w:rsid w:val="3DC02D2D"/>
    <w:rsid w:val="3E59701F"/>
    <w:rsid w:val="3F902A40"/>
    <w:rsid w:val="41F42904"/>
    <w:rsid w:val="430C25F8"/>
    <w:rsid w:val="43D72DE3"/>
    <w:rsid w:val="461A4713"/>
    <w:rsid w:val="478A7FCC"/>
    <w:rsid w:val="4C850BC2"/>
    <w:rsid w:val="502630BD"/>
    <w:rsid w:val="554927B7"/>
    <w:rsid w:val="58341DDD"/>
    <w:rsid w:val="58CB0C4B"/>
    <w:rsid w:val="61F20BD5"/>
    <w:rsid w:val="6200702C"/>
    <w:rsid w:val="65EF74E7"/>
    <w:rsid w:val="66EE75BD"/>
    <w:rsid w:val="67C608DC"/>
    <w:rsid w:val="68104999"/>
    <w:rsid w:val="69B05439"/>
    <w:rsid w:val="6CC110A1"/>
    <w:rsid w:val="6CCE29A2"/>
    <w:rsid w:val="6D9C0565"/>
    <w:rsid w:val="76660EC4"/>
    <w:rsid w:val="78F848EB"/>
    <w:rsid w:val="79094C8D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957</Words>
  <Characters>5461</Characters>
  <Lines>45</Lines>
  <Paragraphs>12</Paragraphs>
  <TotalTime>44</TotalTime>
  <ScaleCrop>false</ScaleCrop>
  <LinksUpToDate>false</LinksUpToDate>
  <CharactersWithSpaces>6406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2020-09-28T08:21:00Z</dcterms:created>
  <dc:creator>信美人寿相互保险社</dc:creator>
  <cp:lastModifiedBy>李京津</cp:lastModifiedBy>
  <dcterms:modified xsi:type="dcterms:W3CDTF">2020-12-16T03:53:12Z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