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CCF0D" w14:textId="77777777" w:rsidR="00F6691B" w:rsidRDefault="00F6691B">
      <w:pPr>
        <w:ind w:leftChars="-12" w:left="-22" w:firstLineChars="0" w:firstLine="0"/>
        <w:jc w:val="center"/>
        <w:rPr>
          <w:rFonts w:ascii="微软雅黑" w:hAnsi="微软雅黑"/>
          <w:b/>
          <w:sz w:val="28"/>
        </w:rPr>
      </w:pPr>
    </w:p>
    <w:p w14:paraId="2D0FF18D" w14:textId="77777777" w:rsidR="00F6691B" w:rsidRDefault="00927845">
      <w:pPr>
        <w:ind w:firstLineChars="0" w:firstLine="0"/>
        <w:jc w:val="center"/>
        <w:rPr>
          <w:rFonts w:ascii="微软雅黑" w:hAnsi="微软雅黑"/>
          <w:b/>
          <w:sz w:val="28"/>
        </w:rPr>
      </w:pPr>
      <w:r>
        <w:rPr>
          <w:rFonts w:ascii="微软雅黑" w:hAnsi="微软雅黑" w:hint="eastAsia"/>
          <w:b/>
          <w:sz w:val="28"/>
        </w:rPr>
        <w:t>FMP</w:t>
      </w:r>
      <w:r>
        <w:rPr>
          <w:rFonts w:ascii="微软雅黑" w:hAnsi="微软雅黑" w:hint="eastAsia"/>
          <w:b/>
          <w:sz w:val="28"/>
        </w:rPr>
        <w:t>规则优化</w:t>
      </w:r>
    </w:p>
    <w:p w14:paraId="57B2812B" w14:textId="77777777" w:rsidR="00F6691B" w:rsidRDefault="00927845">
      <w:pPr>
        <w:ind w:firstLineChars="0" w:firstLine="0"/>
        <w:jc w:val="center"/>
        <w:rPr>
          <w:rFonts w:ascii="微软雅黑" w:hAnsi="微软雅黑"/>
          <w:b/>
          <w:sz w:val="28"/>
        </w:rPr>
      </w:pPr>
      <w:r>
        <w:rPr>
          <w:rFonts w:ascii="微软雅黑" w:hAnsi="微软雅黑" w:hint="eastAsia"/>
          <w:b/>
          <w:sz w:val="28"/>
        </w:rPr>
        <w:t>产品需求说明书</w:t>
      </w:r>
    </w:p>
    <w:p w14:paraId="76122B61" w14:textId="77777777" w:rsidR="00F6691B" w:rsidRDefault="00F6691B">
      <w:pPr>
        <w:ind w:firstLineChars="0" w:firstLine="0"/>
        <w:jc w:val="center"/>
        <w:rPr>
          <w:rFonts w:ascii="微软雅黑" w:hAnsi="微软雅黑"/>
          <w:b/>
          <w:sz w:val="28"/>
        </w:rPr>
      </w:pPr>
    </w:p>
    <w:p w14:paraId="3217237F" w14:textId="77777777" w:rsidR="00F6691B" w:rsidRDefault="00F6691B">
      <w:pPr>
        <w:ind w:firstLine="360"/>
      </w:pPr>
    </w:p>
    <w:p w14:paraId="3CB99155" w14:textId="77777777" w:rsidR="00F6691B" w:rsidRDefault="00F6691B">
      <w:pPr>
        <w:ind w:firstLineChars="111"/>
        <w:sectPr w:rsidR="00F6691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36094DAF" w14:textId="77777777" w:rsidR="00F6691B" w:rsidRDefault="00F6691B">
      <w:pPr>
        <w:ind w:firstLineChars="0" w:firstLine="0"/>
      </w:pPr>
    </w:p>
    <w:p w14:paraId="1DF60A51" w14:textId="77777777" w:rsidR="00F6691B" w:rsidRDefault="00927845">
      <w:pPr>
        <w:pStyle w:val="1"/>
        <w:ind w:firstLine="420"/>
      </w:pPr>
      <w:r>
        <w:rPr>
          <w:rFonts w:hint="eastAsia"/>
        </w:rPr>
        <w:t>【版本日志</w:t>
      </w:r>
      <w:r>
        <w:t>】</w:t>
      </w:r>
    </w:p>
    <w:tbl>
      <w:tblPr>
        <w:tblStyle w:val="ad"/>
        <w:tblW w:w="5000" w:type="pct"/>
        <w:tblLook w:val="04A0" w:firstRow="1" w:lastRow="0" w:firstColumn="1" w:lastColumn="0" w:noHBand="0" w:noVBand="1"/>
      </w:tblPr>
      <w:tblGrid>
        <w:gridCol w:w="889"/>
        <w:gridCol w:w="1112"/>
        <w:gridCol w:w="1555"/>
        <w:gridCol w:w="4740"/>
      </w:tblGrid>
      <w:tr w:rsidR="00F6691B" w14:paraId="3D927234" w14:textId="77777777">
        <w:tc>
          <w:tcPr>
            <w:tcW w:w="536" w:type="pct"/>
            <w:shd w:val="clear" w:color="auto" w:fill="8EAADB" w:themeFill="accent1" w:themeFillTint="99"/>
          </w:tcPr>
          <w:p w14:paraId="02F693CE" w14:textId="77777777" w:rsidR="00F6691B" w:rsidRDefault="00927845">
            <w:pPr>
              <w:adjustRightInd w:val="0"/>
              <w:snapToGrid w:val="0"/>
              <w:ind w:firstLineChars="0" w:firstLine="0"/>
              <w:rPr>
                <w:rFonts w:ascii="微软雅黑" w:hAnsi="微软雅黑"/>
                <w:kern w:val="0"/>
                <w:szCs w:val="21"/>
              </w:rPr>
            </w:pPr>
            <w:r>
              <w:rPr>
                <w:rFonts w:ascii="微软雅黑" w:hAnsi="微软雅黑" w:hint="eastAsia"/>
                <w:kern w:val="0"/>
                <w:szCs w:val="21"/>
              </w:rPr>
              <w:t>版本</w:t>
            </w:r>
          </w:p>
        </w:tc>
        <w:tc>
          <w:tcPr>
            <w:tcW w:w="670" w:type="pct"/>
            <w:shd w:val="clear" w:color="auto" w:fill="8EAADB" w:themeFill="accent1" w:themeFillTint="99"/>
          </w:tcPr>
          <w:p w14:paraId="4890F929" w14:textId="77777777" w:rsidR="00F6691B" w:rsidRDefault="00927845">
            <w:pPr>
              <w:adjustRightInd w:val="0"/>
              <w:snapToGrid w:val="0"/>
              <w:ind w:firstLineChars="0" w:firstLine="0"/>
              <w:rPr>
                <w:rFonts w:ascii="微软雅黑" w:hAnsi="微软雅黑"/>
                <w:kern w:val="0"/>
                <w:szCs w:val="21"/>
              </w:rPr>
            </w:pPr>
            <w:r>
              <w:rPr>
                <w:rFonts w:ascii="微软雅黑" w:hAnsi="微软雅黑" w:hint="eastAsia"/>
                <w:kern w:val="0"/>
                <w:szCs w:val="21"/>
              </w:rPr>
              <w:t>更新人</w:t>
            </w:r>
          </w:p>
        </w:tc>
        <w:tc>
          <w:tcPr>
            <w:tcW w:w="937" w:type="pct"/>
            <w:shd w:val="clear" w:color="auto" w:fill="8EAADB" w:themeFill="accent1" w:themeFillTint="99"/>
          </w:tcPr>
          <w:p w14:paraId="7CB383FE" w14:textId="77777777" w:rsidR="00F6691B" w:rsidRDefault="00927845">
            <w:pPr>
              <w:adjustRightInd w:val="0"/>
              <w:snapToGrid w:val="0"/>
              <w:ind w:firstLineChars="0" w:firstLine="0"/>
              <w:rPr>
                <w:rFonts w:ascii="微软雅黑" w:hAnsi="微软雅黑"/>
                <w:kern w:val="0"/>
                <w:szCs w:val="21"/>
              </w:rPr>
            </w:pPr>
            <w:r>
              <w:rPr>
                <w:rFonts w:ascii="微软雅黑" w:hAnsi="微软雅黑" w:hint="eastAsia"/>
                <w:kern w:val="0"/>
                <w:szCs w:val="21"/>
              </w:rPr>
              <w:t>更新日期</w:t>
            </w:r>
          </w:p>
        </w:tc>
        <w:tc>
          <w:tcPr>
            <w:tcW w:w="2857" w:type="pct"/>
            <w:shd w:val="clear" w:color="auto" w:fill="8EAADB" w:themeFill="accent1" w:themeFillTint="99"/>
          </w:tcPr>
          <w:p w14:paraId="0DDB9FE9" w14:textId="77777777" w:rsidR="00F6691B" w:rsidRDefault="00927845">
            <w:pPr>
              <w:adjustRightInd w:val="0"/>
              <w:snapToGrid w:val="0"/>
              <w:ind w:firstLineChars="0" w:firstLine="0"/>
              <w:rPr>
                <w:rFonts w:ascii="微软雅黑" w:hAnsi="微软雅黑"/>
                <w:kern w:val="0"/>
                <w:szCs w:val="21"/>
              </w:rPr>
            </w:pPr>
            <w:r>
              <w:rPr>
                <w:rFonts w:ascii="微软雅黑" w:hAnsi="微软雅黑" w:hint="eastAsia"/>
                <w:kern w:val="0"/>
                <w:szCs w:val="21"/>
              </w:rPr>
              <w:t>更新内容</w:t>
            </w:r>
          </w:p>
        </w:tc>
      </w:tr>
      <w:tr w:rsidR="00F6691B" w14:paraId="3A58395F" w14:textId="77777777">
        <w:tc>
          <w:tcPr>
            <w:tcW w:w="536" w:type="pct"/>
            <w:vAlign w:val="center"/>
          </w:tcPr>
          <w:p w14:paraId="36341673" w14:textId="77777777" w:rsidR="00F6691B" w:rsidRDefault="00F6691B">
            <w:pPr>
              <w:adjustRightInd w:val="0"/>
              <w:snapToGrid w:val="0"/>
              <w:ind w:firstLineChars="0" w:firstLine="0"/>
              <w:rPr>
                <w:rFonts w:ascii="微软雅黑" w:hAnsi="微软雅黑"/>
                <w:kern w:val="0"/>
                <w:szCs w:val="18"/>
              </w:rPr>
            </w:pPr>
          </w:p>
        </w:tc>
        <w:tc>
          <w:tcPr>
            <w:tcW w:w="670" w:type="pct"/>
            <w:vAlign w:val="center"/>
          </w:tcPr>
          <w:p w14:paraId="074E004A" w14:textId="77777777" w:rsidR="00F6691B" w:rsidRDefault="00F6691B">
            <w:pPr>
              <w:adjustRightInd w:val="0"/>
              <w:snapToGrid w:val="0"/>
              <w:ind w:firstLineChars="0" w:firstLine="0"/>
              <w:rPr>
                <w:rFonts w:ascii="微软雅黑" w:hAnsi="微软雅黑"/>
                <w:kern w:val="0"/>
                <w:szCs w:val="18"/>
              </w:rPr>
            </w:pPr>
          </w:p>
        </w:tc>
        <w:tc>
          <w:tcPr>
            <w:tcW w:w="937" w:type="pct"/>
            <w:vAlign w:val="center"/>
          </w:tcPr>
          <w:p w14:paraId="566DC76F" w14:textId="77777777" w:rsidR="00F6691B" w:rsidRDefault="00F6691B">
            <w:pPr>
              <w:adjustRightInd w:val="0"/>
              <w:snapToGrid w:val="0"/>
              <w:ind w:firstLineChars="0" w:firstLine="0"/>
              <w:rPr>
                <w:rFonts w:ascii="微软雅黑" w:hAnsi="微软雅黑"/>
                <w:kern w:val="0"/>
                <w:szCs w:val="18"/>
              </w:rPr>
            </w:pPr>
          </w:p>
        </w:tc>
        <w:tc>
          <w:tcPr>
            <w:tcW w:w="2857" w:type="pct"/>
            <w:vAlign w:val="center"/>
          </w:tcPr>
          <w:p w14:paraId="4C88E223" w14:textId="77777777" w:rsidR="00F6691B" w:rsidRDefault="00F6691B">
            <w:pPr>
              <w:pStyle w:val="af"/>
              <w:adjustRightInd w:val="0"/>
              <w:snapToGrid w:val="0"/>
              <w:ind w:left="33" w:firstLineChars="0" w:firstLine="0"/>
              <w:rPr>
                <w:rFonts w:ascii="微软雅黑" w:hAnsi="微软雅黑"/>
                <w:kern w:val="0"/>
                <w:szCs w:val="18"/>
              </w:rPr>
            </w:pPr>
          </w:p>
        </w:tc>
      </w:tr>
      <w:tr w:rsidR="00F6691B" w14:paraId="4D03B2D2" w14:textId="77777777">
        <w:tc>
          <w:tcPr>
            <w:tcW w:w="536" w:type="pct"/>
            <w:vAlign w:val="center"/>
          </w:tcPr>
          <w:p w14:paraId="659DD77D" w14:textId="77777777" w:rsidR="00F6691B" w:rsidRDefault="00F6691B">
            <w:pPr>
              <w:adjustRightInd w:val="0"/>
              <w:snapToGrid w:val="0"/>
              <w:ind w:firstLineChars="0" w:firstLine="0"/>
              <w:rPr>
                <w:rFonts w:ascii="微软雅黑" w:hAnsi="微软雅黑"/>
                <w:kern w:val="0"/>
                <w:szCs w:val="18"/>
              </w:rPr>
            </w:pPr>
          </w:p>
        </w:tc>
        <w:tc>
          <w:tcPr>
            <w:tcW w:w="670" w:type="pct"/>
            <w:vAlign w:val="center"/>
          </w:tcPr>
          <w:p w14:paraId="7360B86A" w14:textId="77777777" w:rsidR="00F6691B" w:rsidRDefault="00F6691B">
            <w:pPr>
              <w:adjustRightInd w:val="0"/>
              <w:snapToGrid w:val="0"/>
              <w:ind w:firstLineChars="0" w:firstLine="0"/>
              <w:rPr>
                <w:rFonts w:ascii="微软雅黑" w:hAnsi="微软雅黑"/>
                <w:kern w:val="0"/>
                <w:szCs w:val="18"/>
              </w:rPr>
            </w:pPr>
          </w:p>
        </w:tc>
        <w:tc>
          <w:tcPr>
            <w:tcW w:w="937" w:type="pct"/>
            <w:vAlign w:val="center"/>
          </w:tcPr>
          <w:p w14:paraId="608FAAD3" w14:textId="77777777" w:rsidR="00F6691B" w:rsidRDefault="00F6691B">
            <w:pPr>
              <w:adjustRightInd w:val="0"/>
              <w:snapToGrid w:val="0"/>
              <w:ind w:firstLineChars="0" w:firstLine="0"/>
              <w:rPr>
                <w:rFonts w:ascii="微软雅黑" w:hAnsi="微软雅黑"/>
                <w:kern w:val="0"/>
                <w:szCs w:val="18"/>
              </w:rPr>
            </w:pPr>
          </w:p>
        </w:tc>
        <w:tc>
          <w:tcPr>
            <w:tcW w:w="2857" w:type="pct"/>
            <w:vAlign w:val="center"/>
          </w:tcPr>
          <w:p w14:paraId="02994549" w14:textId="77777777" w:rsidR="00F6691B" w:rsidRDefault="00F6691B">
            <w:pPr>
              <w:adjustRightInd w:val="0"/>
              <w:snapToGrid w:val="0"/>
              <w:ind w:firstLineChars="0" w:firstLine="0"/>
              <w:rPr>
                <w:rFonts w:ascii="微软雅黑" w:hAnsi="微软雅黑"/>
                <w:kern w:val="0"/>
                <w:szCs w:val="18"/>
              </w:rPr>
            </w:pPr>
          </w:p>
        </w:tc>
      </w:tr>
    </w:tbl>
    <w:p w14:paraId="21F01010" w14:textId="77777777" w:rsidR="00F6691B" w:rsidRDefault="00F6691B">
      <w:pPr>
        <w:ind w:firstLine="360"/>
      </w:pPr>
    </w:p>
    <w:p w14:paraId="11A50444" w14:textId="77777777" w:rsidR="00F6691B" w:rsidRDefault="00927845">
      <w:pPr>
        <w:pStyle w:val="1"/>
        <w:numPr>
          <w:ilvl w:val="0"/>
          <w:numId w:val="3"/>
        </w:numPr>
        <w:rPr>
          <w:rFonts w:ascii="微软雅黑" w:hAnsi="微软雅黑" w:cs="微软雅黑"/>
          <w:kern w:val="2"/>
          <w:sz w:val="24"/>
          <w:szCs w:val="24"/>
        </w:rPr>
      </w:pPr>
      <w:r>
        <w:rPr>
          <w:rFonts w:ascii="微软雅黑" w:hAnsi="微软雅黑" w:cs="微软雅黑" w:hint="eastAsia"/>
          <w:kern w:val="2"/>
          <w:sz w:val="24"/>
          <w:szCs w:val="24"/>
        </w:rPr>
        <w:t>背景和目标</w:t>
      </w:r>
    </w:p>
    <w:p w14:paraId="02A15F00" w14:textId="77777777" w:rsidR="00F6691B" w:rsidRDefault="00927845">
      <w:pPr>
        <w:ind w:firstLine="360"/>
        <w:rPr>
          <w:szCs w:val="18"/>
        </w:rPr>
      </w:pPr>
      <w:r>
        <w:rPr>
          <w:rFonts w:ascii="微软雅黑" w:hAnsi="微软雅黑" w:cs="微软雅黑" w:hint="eastAsia"/>
          <w:szCs w:val="18"/>
        </w:rPr>
        <w:t>FMP</w:t>
      </w:r>
      <w:r>
        <w:rPr>
          <w:rFonts w:ascii="微软雅黑" w:hAnsi="微软雅黑" w:cs="微软雅黑" w:hint="eastAsia"/>
          <w:szCs w:val="18"/>
        </w:rPr>
        <w:t>是我社资金对账系统，但在目前对账过程中因此前的一些规则或字段的兼容性已不适用于目前的对账流程，现申请优化</w:t>
      </w:r>
      <w:r>
        <w:rPr>
          <w:rFonts w:ascii="微软雅黑" w:hAnsi="微软雅黑" w:cs="微软雅黑" w:hint="eastAsia"/>
          <w:szCs w:val="18"/>
        </w:rPr>
        <w:t>FMP</w:t>
      </w:r>
      <w:r>
        <w:rPr>
          <w:rFonts w:ascii="微软雅黑" w:hAnsi="微软雅黑" w:cs="微软雅黑" w:hint="eastAsia"/>
          <w:szCs w:val="18"/>
        </w:rPr>
        <w:t>相关规则。</w:t>
      </w:r>
    </w:p>
    <w:p w14:paraId="03C6429E" w14:textId="77777777" w:rsidR="00F6691B" w:rsidRDefault="00927845">
      <w:pPr>
        <w:pStyle w:val="1"/>
        <w:numPr>
          <w:ilvl w:val="0"/>
          <w:numId w:val="3"/>
        </w:numPr>
        <w:rPr>
          <w:rFonts w:ascii="微软雅黑" w:hAnsi="微软雅黑" w:cs="微软雅黑"/>
          <w:kern w:val="2"/>
          <w:sz w:val="24"/>
          <w:szCs w:val="24"/>
        </w:rPr>
      </w:pPr>
      <w:r>
        <w:rPr>
          <w:rFonts w:ascii="微软雅黑" w:hAnsi="微软雅黑" w:cs="微软雅黑" w:hint="eastAsia"/>
          <w:kern w:val="2"/>
          <w:sz w:val="24"/>
          <w:szCs w:val="24"/>
        </w:rPr>
        <w:t>产品概述</w:t>
      </w:r>
      <w:r>
        <w:rPr>
          <w:rFonts w:ascii="微软雅黑" w:hAnsi="微软雅黑" w:cs="微软雅黑" w:hint="eastAsia"/>
          <w:kern w:val="2"/>
          <w:sz w:val="24"/>
          <w:szCs w:val="24"/>
        </w:rPr>
        <w:t xml:space="preserve"> </w:t>
      </w:r>
    </w:p>
    <w:p w14:paraId="67F6630B" w14:textId="77777777" w:rsidR="00F6691B" w:rsidRDefault="00927845">
      <w:pPr>
        <w:pStyle w:val="2"/>
        <w:numPr>
          <w:ilvl w:val="1"/>
          <w:numId w:val="3"/>
        </w:numPr>
        <w:rPr>
          <w:rFonts w:ascii="微软雅黑" w:hAnsi="微软雅黑" w:cs="微软雅黑"/>
          <w:sz w:val="24"/>
          <w:szCs w:val="24"/>
        </w:rPr>
      </w:pPr>
      <w:r>
        <w:rPr>
          <w:rFonts w:ascii="微软雅黑" w:hAnsi="微软雅黑" w:cs="微软雅黑" w:hint="eastAsia"/>
          <w:sz w:val="24"/>
          <w:szCs w:val="24"/>
        </w:rPr>
        <w:t>需求内容</w:t>
      </w:r>
      <w:r>
        <w:rPr>
          <w:rFonts w:ascii="微软雅黑" w:hAnsi="微软雅黑" w:cs="微软雅黑" w:hint="eastAsia"/>
          <w:sz w:val="24"/>
          <w:szCs w:val="24"/>
        </w:rPr>
        <w:t xml:space="preserve"> </w:t>
      </w:r>
    </w:p>
    <w:p w14:paraId="72427DF1" w14:textId="77777777" w:rsidR="00F6691B" w:rsidRDefault="00927845">
      <w:pPr>
        <w:ind w:firstLine="480"/>
        <w:rPr>
          <w:b/>
          <w:bCs/>
          <w:sz w:val="24"/>
          <w:szCs w:val="24"/>
        </w:rPr>
      </w:pPr>
      <w:r>
        <w:rPr>
          <w:rFonts w:hint="eastAsia"/>
          <w:b/>
          <w:bCs/>
          <w:sz w:val="24"/>
          <w:szCs w:val="24"/>
        </w:rPr>
        <w:t>功能简述：</w:t>
      </w:r>
    </w:p>
    <w:p w14:paraId="7BE6791D" w14:textId="77777777" w:rsidR="00F6691B" w:rsidRDefault="00927845">
      <w:pPr>
        <w:numPr>
          <w:ilvl w:val="0"/>
          <w:numId w:val="4"/>
        </w:numPr>
        <w:ind w:firstLineChars="0" w:firstLine="0"/>
        <w:rPr>
          <w:rFonts w:ascii="微软雅黑" w:hAnsi="微软雅黑" w:cs="微软雅黑"/>
          <w:b/>
          <w:bCs/>
          <w:szCs w:val="18"/>
        </w:rPr>
      </w:pPr>
      <w:commentRangeStart w:id="0"/>
      <w:r>
        <w:rPr>
          <w:rFonts w:ascii="微软雅黑" w:hAnsi="微软雅黑" w:cs="微软雅黑" w:hint="eastAsia"/>
          <w:b/>
          <w:bCs/>
          <w:szCs w:val="18"/>
        </w:rPr>
        <w:t>新开账户在</w:t>
      </w:r>
      <w:r>
        <w:rPr>
          <w:rFonts w:ascii="微软雅黑" w:hAnsi="微软雅黑" w:cs="微软雅黑" w:hint="eastAsia"/>
          <w:b/>
          <w:bCs/>
          <w:szCs w:val="18"/>
        </w:rPr>
        <w:t>FMP</w:t>
      </w:r>
      <w:r>
        <w:rPr>
          <w:rFonts w:ascii="微软雅黑" w:hAnsi="微软雅黑" w:cs="微软雅黑" w:hint="eastAsia"/>
          <w:b/>
          <w:bCs/>
          <w:szCs w:val="18"/>
        </w:rPr>
        <w:t>的账户启用规则优化：</w:t>
      </w:r>
      <w:commentRangeEnd w:id="0"/>
      <w:r w:rsidR="00BE4FBE">
        <w:rPr>
          <w:rStyle w:val="ae"/>
        </w:rPr>
        <w:commentReference w:id="0"/>
      </w:r>
    </w:p>
    <w:p w14:paraId="53C14365" w14:textId="77777777" w:rsidR="00F6691B" w:rsidRDefault="00927845">
      <w:pPr>
        <w:ind w:firstLine="360"/>
        <w:rPr>
          <w:rFonts w:ascii="微软雅黑" w:hAnsi="微软雅黑" w:cs="微软雅黑"/>
          <w:szCs w:val="18"/>
        </w:rPr>
      </w:pPr>
      <w:r>
        <w:rPr>
          <w:rFonts w:ascii="微软雅黑" w:hAnsi="微软雅黑" w:cs="微软雅黑" w:hint="eastAsia"/>
          <w:szCs w:val="18"/>
        </w:rPr>
        <w:t>财务部新开账户后会在保融资</w:t>
      </w:r>
      <w:proofErr w:type="gramStart"/>
      <w:r>
        <w:rPr>
          <w:rFonts w:ascii="微软雅黑" w:hAnsi="微软雅黑" w:cs="微软雅黑" w:hint="eastAsia"/>
          <w:szCs w:val="18"/>
        </w:rPr>
        <w:t>金系统</w:t>
      </w:r>
      <w:proofErr w:type="gramEnd"/>
      <w:r>
        <w:rPr>
          <w:rFonts w:ascii="微软雅黑" w:hAnsi="微软雅黑" w:cs="微软雅黑" w:hint="eastAsia"/>
          <w:szCs w:val="18"/>
        </w:rPr>
        <w:t>提交新开账户申请，维护账户信息、科目代码及开户时间等，新开账户的审批通过后，会将账户信息推送至</w:t>
      </w:r>
      <w:r>
        <w:rPr>
          <w:rFonts w:ascii="微软雅黑" w:hAnsi="微软雅黑" w:cs="微软雅黑" w:hint="eastAsia"/>
          <w:szCs w:val="18"/>
        </w:rPr>
        <w:t>FMP</w:t>
      </w:r>
      <w:r>
        <w:rPr>
          <w:rFonts w:ascii="微软雅黑" w:hAnsi="微软雅黑" w:cs="微软雅黑" w:hint="eastAsia"/>
          <w:szCs w:val="18"/>
        </w:rPr>
        <w:t>。</w:t>
      </w:r>
    </w:p>
    <w:p w14:paraId="38436F41" w14:textId="77777777" w:rsidR="00F6691B" w:rsidRDefault="00927845">
      <w:pPr>
        <w:ind w:firstLine="360"/>
        <w:rPr>
          <w:rFonts w:ascii="微软雅黑" w:hAnsi="微软雅黑" w:cs="微软雅黑"/>
          <w:szCs w:val="18"/>
        </w:rPr>
      </w:pPr>
      <w:r>
        <w:rPr>
          <w:rFonts w:ascii="微软雅黑" w:hAnsi="微软雅黑" w:cs="微软雅黑" w:hint="eastAsia"/>
          <w:szCs w:val="18"/>
        </w:rPr>
        <w:t>按照现在的规则，在开户时间的当天必须推送账单，新的账户才能在</w:t>
      </w:r>
      <w:r>
        <w:rPr>
          <w:rFonts w:ascii="微软雅黑" w:hAnsi="微软雅黑" w:cs="微软雅黑" w:hint="eastAsia"/>
          <w:szCs w:val="18"/>
        </w:rPr>
        <w:t>FMP</w:t>
      </w:r>
      <w:r>
        <w:rPr>
          <w:rFonts w:ascii="微软雅黑" w:hAnsi="微软雅黑" w:cs="微软雅黑" w:hint="eastAsia"/>
          <w:szCs w:val="18"/>
        </w:rPr>
        <w:t>启用。但按照实际的业务场景，账户刚刚开立之初可能不会立即发生交易，但如果开户后</w:t>
      </w:r>
      <w:proofErr w:type="gramStart"/>
      <w:r>
        <w:rPr>
          <w:rFonts w:ascii="微软雅黑" w:hAnsi="微软雅黑" w:cs="微软雅黑" w:hint="eastAsia"/>
          <w:szCs w:val="18"/>
        </w:rPr>
        <w:t>不</w:t>
      </w:r>
      <w:proofErr w:type="gramEnd"/>
      <w:r>
        <w:rPr>
          <w:rFonts w:ascii="微软雅黑" w:hAnsi="微软雅黑" w:cs="微软雅黑" w:hint="eastAsia"/>
          <w:szCs w:val="18"/>
        </w:rPr>
        <w:t>立即推送账单，则只能通过后续的人工运维，才能在</w:t>
      </w:r>
      <w:r>
        <w:rPr>
          <w:rFonts w:ascii="微软雅黑" w:hAnsi="微软雅黑" w:cs="微软雅黑" w:hint="eastAsia"/>
          <w:szCs w:val="18"/>
        </w:rPr>
        <w:t>FMP</w:t>
      </w:r>
      <w:r>
        <w:rPr>
          <w:rFonts w:ascii="微软雅黑" w:hAnsi="微软雅黑" w:cs="微软雅黑" w:hint="eastAsia"/>
          <w:szCs w:val="18"/>
        </w:rPr>
        <w:t>开启新账户。无法通过系统流程在</w:t>
      </w:r>
      <w:r>
        <w:rPr>
          <w:rFonts w:ascii="微软雅黑" w:hAnsi="微软雅黑" w:cs="微软雅黑" w:hint="eastAsia"/>
          <w:szCs w:val="18"/>
        </w:rPr>
        <w:t>FMP</w:t>
      </w:r>
      <w:r>
        <w:rPr>
          <w:rFonts w:ascii="微软雅黑" w:hAnsi="微软雅黑" w:cs="微软雅黑" w:hint="eastAsia"/>
          <w:szCs w:val="18"/>
        </w:rPr>
        <w:t>开启账户。</w:t>
      </w:r>
    </w:p>
    <w:p w14:paraId="0E0FEA3B" w14:textId="77777777" w:rsidR="00F6691B" w:rsidRDefault="00927845">
      <w:pPr>
        <w:ind w:firstLine="360"/>
        <w:rPr>
          <w:rFonts w:ascii="微软雅黑" w:hAnsi="微软雅黑" w:cs="微软雅黑"/>
          <w:szCs w:val="18"/>
        </w:rPr>
      </w:pPr>
      <w:r>
        <w:rPr>
          <w:rFonts w:ascii="微软雅黑" w:hAnsi="微软雅黑" w:cs="微软雅黑" w:hint="eastAsia"/>
          <w:b/>
          <w:bCs/>
          <w:szCs w:val="18"/>
        </w:rPr>
        <w:t>建议优化</w:t>
      </w:r>
      <w:r>
        <w:rPr>
          <w:rFonts w:ascii="微软雅黑" w:hAnsi="微软雅黑" w:cs="微软雅黑" w:hint="eastAsia"/>
          <w:szCs w:val="18"/>
        </w:rPr>
        <w:t>：新账户开立后，</w:t>
      </w:r>
      <w:r>
        <w:rPr>
          <w:rFonts w:ascii="微软雅黑" w:hAnsi="微软雅黑" w:cs="微软雅黑" w:hint="eastAsia"/>
          <w:szCs w:val="18"/>
        </w:rPr>
        <w:t>FMP</w:t>
      </w:r>
      <w:r>
        <w:rPr>
          <w:rFonts w:ascii="微软雅黑" w:hAnsi="微软雅黑" w:cs="微软雅黑" w:hint="eastAsia"/>
          <w:szCs w:val="18"/>
        </w:rPr>
        <w:t>启用新账户的逻辑为：首次推送账单后，账单的初始日期为</w:t>
      </w:r>
      <w:r>
        <w:rPr>
          <w:rFonts w:ascii="微软雅黑" w:hAnsi="微软雅黑" w:cs="微软雅黑" w:hint="eastAsia"/>
          <w:szCs w:val="18"/>
        </w:rPr>
        <w:t>FMP</w:t>
      </w:r>
      <w:r>
        <w:rPr>
          <w:rFonts w:ascii="微软雅黑" w:hAnsi="微软雅黑" w:cs="微软雅黑" w:hint="eastAsia"/>
          <w:szCs w:val="18"/>
        </w:rPr>
        <w:t>中账户启用的日期。尽量避免人工干预。</w:t>
      </w:r>
    </w:p>
    <w:p w14:paraId="13999634" w14:textId="77777777" w:rsidR="00F6691B" w:rsidRDefault="00927845">
      <w:pPr>
        <w:ind w:firstLine="360"/>
        <w:rPr>
          <w:rFonts w:ascii="微软雅黑" w:hAnsi="微软雅黑" w:cs="微软雅黑"/>
          <w:szCs w:val="18"/>
        </w:rPr>
      </w:pPr>
      <w:r>
        <w:rPr>
          <w:rFonts w:ascii="微软雅黑" w:hAnsi="微软雅黑" w:cs="微软雅黑" w:hint="eastAsia"/>
          <w:szCs w:val="18"/>
        </w:rPr>
        <w:t>例如</w:t>
      </w:r>
      <w:r>
        <w:rPr>
          <w:rFonts w:ascii="微软雅黑" w:hAnsi="微软雅黑" w:cs="微软雅黑" w:hint="eastAsia"/>
          <w:szCs w:val="18"/>
        </w:rPr>
        <w:t>：</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1</w:t>
      </w:r>
      <w:r>
        <w:rPr>
          <w:rFonts w:ascii="微软雅黑" w:hAnsi="微软雅黑" w:cs="微软雅黑" w:hint="eastAsia"/>
          <w:szCs w:val="18"/>
        </w:rPr>
        <w:t>日新开账户并在保融资金系统维护，在</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5</w:t>
      </w:r>
      <w:r>
        <w:rPr>
          <w:rFonts w:ascii="微软雅黑" w:hAnsi="微软雅黑" w:cs="微软雅黑" w:hint="eastAsia"/>
          <w:szCs w:val="18"/>
        </w:rPr>
        <w:t>日起开始发生交易，</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15</w:t>
      </w:r>
      <w:r>
        <w:rPr>
          <w:rFonts w:ascii="微软雅黑" w:hAnsi="微软雅黑" w:cs="微软雅黑" w:hint="eastAsia"/>
          <w:szCs w:val="18"/>
        </w:rPr>
        <w:t>日第一次推送了账单，账单包含</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5</w:t>
      </w:r>
      <w:r>
        <w:rPr>
          <w:rFonts w:ascii="微软雅黑" w:hAnsi="微软雅黑" w:cs="微软雅黑" w:hint="eastAsia"/>
          <w:szCs w:val="18"/>
        </w:rPr>
        <w:t>日</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14</w:t>
      </w:r>
      <w:r>
        <w:rPr>
          <w:rFonts w:ascii="微软雅黑" w:hAnsi="微软雅黑" w:cs="微软雅黑" w:hint="eastAsia"/>
          <w:szCs w:val="18"/>
        </w:rPr>
        <w:t>日的交易，那么账户在</w:t>
      </w:r>
      <w:r>
        <w:rPr>
          <w:rFonts w:ascii="微软雅黑" w:hAnsi="微软雅黑" w:cs="微软雅黑" w:hint="eastAsia"/>
          <w:szCs w:val="18"/>
        </w:rPr>
        <w:t>FMP</w:t>
      </w:r>
      <w:r>
        <w:rPr>
          <w:rFonts w:ascii="微软雅黑" w:hAnsi="微软雅黑" w:cs="微软雅黑" w:hint="eastAsia"/>
          <w:szCs w:val="18"/>
        </w:rPr>
        <w:t>的启用日期为</w:t>
      </w:r>
      <w:r>
        <w:rPr>
          <w:rFonts w:ascii="微软雅黑" w:hAnsi="微软雅黑" w:cs="微软雅黑" w:hint="eastAsia"/>
          <w:szCs w:val="18"/>
        </w:rPr>
        <w:t>12</w:t>
      </w:r>
      <w:r>
        <w:rPr>
          <w:rFonts w:ascii="微软雅黑" w:hAnsi="微软雅黑" w:cs="微软雅黑" w:hint="eastAsia"/>
          <w:szCs w:val="18"/>
        </w:rPr>
        <w:t>月</w:t>
      </w:r>
      <w:r>
        <w:rPr>
          <w:rFonts w:ascii="微软雅黑" w:hAnsi="微软雅黑" w:cs="微软雅黑" w:hint="eastAsia"/>
          <w:szCs w:val="18"/>
        </w:rPr>
        <w:t>5</w:t>
      </w:r>
      <w:r>
        <w:rPr>
          <w:rFonts w:ascii="微软雅黑" w:hAnsi="微软雅黑" w:cs="微软雅黑" w:hint="eastAsia"/>
          <w:szCs w:val="18"/>
        </w:rPr>
        <w:t>日。</w:t>
      </w:r>
    </w:p>
    <w:p w14:paraId="06240849" w14:textId="77777777" w:rsidR="00F6691B" w:rsidRDefault="00927845">
      <w:pPr>
        <w:numPr>
          <w:ilvl w:val="0"/>
          <w:numId w:val="4"/>
        </w:numPr>
        <w:ind w:firstLineChars="0" w:firstLine="0"/>
        <w:rPr>
          <w:rFonts w:ascii="微软雅黑" w:hAnsi="微软雅黑" w:cs="微软雅黑"/>
          <w:b/>
          <w:bCs/>
          <w:szCs w:val="18"/>
        </w:rPr>
      </w:pPr>
      <w:commentRangeStart w:id="1"/>
      <w:r>
        <w:rPr>
          <w:rFonts w:ascii="微软雅黑" w:hAnsi="微软雅黑" w:cs="微软雅黑" w:hint="eastAsia"/>
          <w:b/>
          <w:bCs/>
          <w:szCs w:val="18"/>
        </w:rPr>
        <w:t>FMP</w:t>
      </w:r>
      <w:r>
        <w:rPr>
          <w:rFonts w:ascii="微软雅黑" w:hAnsi="微软雅黑" w:cs="微软雅黑" w:hint="eastAsia"/>
          <w:b/>
          <w:bCs/>
          <w:szCs w:val="18"/>
        </w:rPr>
        <w:t>银行信息列表：兴业银行的“用途”及“备注”字段规则优化（账号：</w:t>
      </w:r>
      <w:r>
        <w:rPr>
          <w:rFonts w:ascii="微软雅黑" w:hAnsi="微软雅黑" w:cs="微软雅黑" w:hint="eastAsia"/>
          <w:b/>
          <w:bCs/>
          <w:szCs w:val="18"/>
        </w:rPr>
        <w:t>321060100100292196</w:t>
      </w:r>
      <w:r>
        <w:rPr>
          <w:rFonts w:ascii="微软雅黑" w:hAnsi="微软雅黑" w:cs="微软雅黑" w:hint="eastAsia"/>
          <w:b/>
          <w:bCs/>
          <w:szCs w:val="18"/>
        </w:rPr>
        <w:t>）</w:t>
      </w:r>
    </w:p>
    <w:p w14:paraId="2F5E7F42" w14:textId="77777777" w:rsidR="00F6691B" w:rsidRDefault="00927845">
      <w:pPr>
        <w:ind w:firstLine="360"/>
        <w:rPr>
          <w:rFonts w:ascii="微软雅黑" w:hAnsi="微软雅黑" w:cs="微软雅黑"/>
          <w:szCs w:val="18"/>
        </w:rPr>
      </w:pPr>
      <w:r>
        <w:rPr>
          <w:rFonts w:ascii="微软雅黑" w:hAnsi="微软雅黑" w:cs="微软雅黑" w:hint="eastAsia"/>
          <w:szCs w:val="18"/>
        </w:rPr>
        <w:t>目前保融资</w:t>
      </w:r>
      <w:proofErr w:type="gramStart"/>
      <w:r>
        <w:rPr>
          <w:rFonts w:ascii="微软雅黑" w:hAnsi="微软雅黑" w:cs="微软雅黑" w:hint="eastAsia"/>
          <w:szCs w:val="18"/>
        </w:rPr>
        <w:t>金系统</w:t>
      </w:r>
      <w:proofErr w:type="gramEnd"/>
      <w:r>
        <w:rPr>
          <w:rFonts w:ascii="微软雅黑" w:hAnsi="微软雅黑" w:cs="微软雅黑" w:hint="eastAsia"/>
          <w:szCs w:val="18"/>
        </w:rPr>
        <w:t>将兴业银行的账单推送给</w:t>
      </w:r>
      <w:r>
        <w:rPr>
          <w:rFonts w:ascii="微软雅黑" w:hAnsi="微软雅黑" w:cs="微软雅黑" w:hint="eastAsia"/>
          <w:szCs w:val="18"/>
        </w:rPr>
        <w:t>FMP</w:t>
      </w:r>
      <w:r>
        <w:rPr>
          <w:rFonts w:ascii="微软雅黑" w:hAnsi="微软雅黑" w:cs="微软雅黑" w:hint="eastAsia"/>
          <w:szCs w:val="18"/>
        </w:rPr>
        <w:t>时，因“用途”和</w:t>
      </w:r>
      <w:proofErr w:type="gramStart"/>
      <w:r>
        <w:rPr>
          <w:rFonts w:ascii="微软雅黑" w:hAnsi="微软雅黑" w:cs="微软雅黑"/>
          <w:szCs w:val="18"/>
        </w:rPr>
        <w:t>”</w:t>
      </w:r>
      <w:proofErr w:type="gramEnd"/>
      <w:r>
        <w:rPr>
          <w:rFonts w:ascii="微软雅黑" w:hAnsi="微软雅黑" w:cs="微软雅黑" w:hint="eastAsia"/>
          <w:szCs w:val="18"/>
        </w:rPr>
        <w:t>备注</w:t>
      </w:r>
      <w:proofErr w:type="gramStart"/>
      <w:r>
        <w:rPr>
          <w:rFonts w:ascii="微软雅黑" w:hAnsi="微软雅黑" w:cs="微软雅黑" w:hint="eastAsia"/>
          <w:szCs w:val="18"/>
        </w:rPr>
        <w:t>“</w:t>
      </w:r>
      <w:proofErr w:type="gramEnd"/>
      <w:r>
        <w:rPr>
          <w:rFonts w:ascii="微软雅黑" w:hAnsi="微软雅黑" w:cs="微软雅黑" w:hint="eastAsia"/>
          <w:szCs w:val="18"/>
        </w:rPr>
        <w:t>均传了“扩展摘要”，导致</w:t>
      </w:r>
      <w:r>
        <w:rPr>
          <w:rFonts w:ascii="微软雅黑" w:hAnsi="微软雅黑" w:cs="微软雅黑" w:hint="eastAsia"/>
          <w:szCs w:val="18"/>
        </w:rPr>
        <w:t>FMP</w:t>
      </w:r>
      <w:r>
        <w:rPr>
          <w:rFonts w:ascii="微软雅黑" w:hAnsi="微软雅黑" w:cs="微软雅黑" w:hint="eastAsia"/>
          <w:szCs w:val="18"/>
        </w:rPr>
        <w:t>无法兼容，从而无法按照对账规则记账。</w:t>
      </w:r>
    </w:p>
    <w:p w14:paraId="5744DD4B" w14:textId="77777777" w:rsidR="00F6691B" w:rsidRDefault="00927845">
      <w:pPr>
        <w:ind w:firstLine="360"/>
        <w:rPr>
          <w:rFonts w:ascii="微软雅黑" w:hAnsi="微软雅黑" w:cs="微软雅黑"/>
          <w:szCs w:val="18"/>
        </w:rPr>
      </w:pPr>
      <w:r>
        <w:rPr>
          <w:rFonts w:ascii="微软雅黑" w:hAnsi="微软雅黑" w:cs="微软雅黑" w:hint="eastAsia"/>
          <w:color w:val="FF0000"/>
          <w:szCs w:val="18"/>
        </w:rPr>
        <w:t>（目前对账规则“</w:t>
      </w:r>
      <w:r>
        <w:rPr>
          <w:rFonts w:hint="eastAsia"/>
          <w:color w:val="FF0000"/>
        </w:rPr>
        <w:t>交易流水表按交易日期汇总交易总金额</w:t>
      </w:r>
      <w:r>
        <w:rPr>
          <w:rFonts w:hint="eastAsia"/>
          <w:color w:val="FF0000"/>
        </w:rPr>
        <w:t xml:space="preserve"> </w:t>
      </w:r>
      <w:r>
        <w:rPr>
          <w:rFonts w:hint="eastAsia"/>
          <w:color w:val="FF0000"/>
        </w:rPr>
        <w:t>与</w:t>
      </w:r>
      <w:r>
        <w:rPr>
          <w:rFonts w:hint="eastAsia"/>
          <w:color w:val="FF0000"/>
        </w:rPr>
        <w:t xml:space="preserve"> </w:t>
      </w:r>
      <w:r>
        <w:rPr>
          <w:rFonts w:hint="eastAsia"/>
          <w:color w:val="FF0000"/>
        </w:rPr>
        <w:t>账单信息中【用途】字段取值为【</w:t>
      </w:r>
      <w:r>
        <w:rPr>
          <w:rFonts w:hint="eastAsia"/>
          <w:color w:val="FF0000"/>
        </w:rPr>
        <w:t>扩展摘要】的同交易日期的【贷方】字段的金额匹配是否一致</w:t>
      </w:r>
      <w:r>
        <w:rPr>
          <w:rFonts w:ascii="微软雅黑" w:hAnsi="微软雅黑" w:cs="微软雅黑" w:hint="eastAsia"/>
          <w:color w:val="FF0000"/>
          <w:szCs w:val="18"/>
        </w:rPr>
        <w:t>”）</w:t>
      </w:r>
      <w:commentRangeEnd w:id="1"/>
      <w:r w:rsidR="00F32AE7">
        <w:rPr>
          <w:rStyle w:val="ae"/>
        </w:rPr>
        <w:commentReference w:id="1"/>
      </w:r>
    </w:p>
    <w:p w14:paraId="07EA69AE" w14:textId="77777777" w:rsidR="00F6691B" w:rsidRDefault="00927845">
      <w:pPr>
        <w:ind w:firstLineChars="300" w:firstLine="540"/>
        <w:rPr>
          <w:rFonts w:ascii="微软雅黑" w:hAnsi="微软雅黑" w:cs="微软雅黑"/>
          <w:szCs w:val="18"/>
        </w:rPr>
      </w:pPr>
      <w:r>
        <w:rPr>
          <w:rFonts w:ascii="微软雅黑" w:hAnsi="微软雅黑" w:cs="微软雅黑" w:hint="eastAsia"/>
          <w:b/>
          <w:bCs/>
          <w:szCs w:val="18"/>
        </w:rPr>
        <w:t>建议优化：</w:t>
      </w:r>
      <w:r>
        <w:rPr>
          <w:rFonts w:ascii="微软雅黑" w:hAnsi="微软雅黑" w:cs="微软雅黑" w:hint="eastAsia"/>
          <w:szCs w:val="18"/>
        </w:rPr>
        <w:t>根据保融资</w:t>
      </w:r>
      <w:proofErr w:type="gramStart"/>
      <w:r>
        <w:rPr>
          <w:rFonts w:ascii="微软雅黑" w:hAnsi="微软雅黑" w:cs="微软雅黑" w:hint="eastAsia"/>
          <w:szCs w:val="18"/>
        </w:rPr>
        <w:t>金系统</w:t>
      </w:r>
      <w:proofErr w:type="gramEnd"/>
      <w:r>
        <w:rPr>
          <w:rFonts w:ascii="微软雅黑" w:hAnsi="微软雅黑" w:cs="微软雅黑" w:hint="eastAsia"/>
          <w:szCs w:val="18"/>
        </w:rPr>
        <w:t>传送的信息，结合对账规则，兼容“用途”及“备注”字段信息。</w:t>
      </w:r>
    </w:p>
    <w:p w14:paraId="46E4ED1C" w14:textId="77777777" w:rsidR="00F6691B" w:rsidRDefault="00927845">
      <w:pPr>
        <w:ind w:firstLineChars="0" w:firstLine="0"/>
        <w:rPr>
          <w:rFonts w:ascii="微软雅黑" w:hAnsi="微软雅黑" w:cs="微软雅黑"/>
          <w:szCs w:val="18"/>
        </w:rPr>
      </w:pPr>
      <w:r>
        <w:rPr>
          <w:noProof/>
        </w:rPr>
        <w:lastRenderedPageBreak/>
        <w:drawing>
          <wp:inline distT="0" distB="0" distL="114300" distR="114300" wp14:anchorId="3E1C59A1" wp14:editId="60A7412A">
            <wp:extent cx="5265420" cy="1548130"/>
            <wp:effectExtent l="0" t="0" r="11430"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9"/>
                    <a:stretch>
                      <a:fillRect/>
                    </a:stretch>
                  </pic:blipFill>
                  <pic:spPr>
                    <a:xfrm>
                      <a:off x="0" y="0"/>
                      <a:ext cx="5265420" cy="1548130"/>
                    </a:xfrm>
                    <a:prstGeom prst="rect">
                      <a:avLst/>
                    </a:prstGeom>
                    <a:noFill/>
                    <a:ln>
                      <a:noFill/>
                    </a:ln>
                  </pic:spPr>
                </pic:pic>
              </a:graphicData>
            </a:graphic>
          </wp:inline>
        </w:drawing>
      </w:r>
    </w:p>
    <w:p w14:paraId="57692E27" w14:textId="77777777" w:rsidR="00F6691B" w:rsidRDefault="00927845">
      <w:pPr>
        <w:numPr>
          <w:ilvl w:val="0"/>
          <w:numId w:val="4"/>
        </w:numPr>
        <w:ind w:firstLineChars="0" w:firstLine="0"/>
        <w:rPr>
          <w:rFonts w:ascii="微软雅黑" w:hAnsi="微软雅黑" w:cs="微软雅黑"/>
          <w:b/>
          <w:bCs/>
          <w:szCs w:val="18"/>
        </w:rPr>
      </w:pPr>
      <w:proofErr w:type="gramStart"/>
      <w:r>
        <w:rPr>
          <w:rFonts w:ascii="微软雅黑" w:hAnsi="微软雅黑" w:cs="微软雅黑" w:hint="eastAsia"/>
          <w:b/>
          <w:bCs/>
          <w:szCs w:val="18"/>
        </w:rPr>
        <w:t>网商银行</w:t>
      </w:r>
      <w:proofErr w:type="gramEnd"/>
      <w:r>
        <w:rPr>
          <w:rFonts w:ascii="微软雅黑" w:hAnsi="微软雅黑" w:cs="微软雅黑" w:hint="eastAsia"/>
          <w:b/>
          <w:bCs/>
          <w:szCs w:val="18"/>
        </w:rPr>
        <w:t>费用支出户同时间多笔交易余额计算规则优化（账号：</w:t>
      </w:r>
      <w:r>
        <w:rPr>
          <w:rFonts w:ascii="微软雅黑" w:hAnsi="微软雅黑" w:cs="微软雅黑" w:hint="eastAsia"/>
          <w:b/>
          <w:bCs/>
          <w:szCs w:val="18"/>
        </w:rPr>
        <w:t>8888886859435325</w:t>
      </w:r>
      <w:r>
        <w:rPr>
          <w:rFonts w:ascii="微软雅黑" w:hAnsi="微软雅黑" w:cs="微软雅黑" w:hint="eastAsia"/>
          <w:b/>
          <w:bCs/>
          <w:szCs w:val="18"/>
        </w:rPr>
        <w:t>）：</w:t>
      </w:r>
    </w:p>
    <w:p w14:paraId="791C65FB" w14:textId="77777777" w:rsidR="00F6691B" w:rsidRDefault="00927845">
      <w:pPr>
        <w:ind w:firstLine="360"/>
        <w:rPr>
          <w:rFonts w:ascii="微软雅黑" w:hAnsi="微软雅黑" w:cs="微软雅黑"/>
          <w:szCs w:val="18"/>
        </w:rPr>
      </w:pPr>
      <w:commentRangeStart w:id="2"/>
      <w:proofErr w:type="gramStart"/>
      <w:r>
        <w:rPr>
          <w:rFonts w:ascii="微软雅黑" w:hAnsi="微软雅黑" w:cs="微软雅黑" w:hint="eastAsia"/>
          <w:szCs w:val="18"/>
        </w:rPr>
        <w:t>因网商银行</w:t>
      </w:r>
      <w:proofErr w:type="gramEnd"/>
      <w:r>
        <w:rPr>
          <w:rFonts w:ascii="微软雅黑" w:hAnsi="微软雅黑" w:cs="微软雅黑" w:hint="eastAsia"/>
          <w:szCs w:val="18"/>
        </w:rPr>
        <w:t>为我社费用支出户，</w:t>
      </w:r>
      <w:proofErr w:type="gramStart"/>
      <w:r>
        <w:rPr>
          <w:rFonts w:ascii="微软雅黑" w:hAnsi="微软雅黑" w:cs="微软雅黑" w:hint="eastAsia"/>
          <w:szCs w:val="18"/>
        </w:rPr>
        <w:t>通过费控批处理</w:t>
      </w:r>
      <w:proofErr w:type="gramEnd"/>
      <w:r>
        <w:rPr>
          <w:rFonts w:ascii="微软雅黑" w:hAnsi="微软雅黑" w:cs="微软雅黑" w:hint="eastAsia"/>
          <w:szCs w:val="18"/>
        </w:rPr>
        <w:t>将</w:t>
      </w:r>
      <w:proofErr w:type="gramStart"/>
      <w:r>
        <w:rPr>
          <w:rFonts w:ascii="微软雅黑" w:hAnsi="微软雅黑" w:cs="微软雅黑" w:hint="eastAsia"/>
          <w:szCs w:val="18"/>
        </w:rPr>
        <w:t>待支付</w:t>
      </w:r>
      <w:proofErr w:type="gramEnd"/>
      <w:r>
        <w:rPr>
          <w:rFonts w:ascii="微软雅黑" w:hAnsi="微软雅黑" w:cs="微软雅黑" w:hint="eastAsia"/>
          <w:szCs w:val="18"/>
        </w:rPr>
        <w:t>数据推送至</w:t>
      </w:r>
      <w:r>
        <w:rPr>
          <w:rFonts w:ascii="微软雅黑" w:hAnsi="微软雅黑" w:cs="微软雅黑" w:hint="eastAsia"/>
          <w:szCs w:val="18"/>
        </w:rPr>
        <w:t>FMT</w:t>
      </w:r>
      <w:r>
        <w:rPr>
          <w:rFonts w:ascii="微软雅黑" w:hAnsi="微软雅黑" w:cs="微软雅黑" w:hint="eastAsia"/>
          <w:szCs w:val="18"/>
        </w:rPr>
        <w:t>时会存在较多同一时间（同时同分同秒）发生的费用支出。</w:t>
      </w:r>
    </w:p>
    <w:p w14:paraId="518149E4" w14:textId="77777777" w:rsidR="00F6691B" w:rsidRDefault="00927845">
      <w:pPr>
        <w:ind w:firstLine="360"/>
        <w:rPr>
          <w:rFonts w:ascii="微软雅黑" w:hAnsi="微软雅黑" w:cs="微软雅黑"/>
          <w:szCs w:val="18"/>
        </w:rPr>
      </w:pPr>
      <w:r>
        <w:rPr>
          <w:rFonts w:ascii="微软雅黑" w:hAnsi="微软雅黑" w:cs="微软雅黑" w:hint="eastAsia"/>
          <w:szCs w:val="18"/>
        </w:rPr>
        <w:t>按照现在的规则：当银行流水账单推送到</w:t>
      </w:r>
      <w:r>
        <w:rPr>
          <w:rFonts w:ascii="微软雅黑" w:hAnsi="微软雅黑" w:cs="微软雅黑" w:hint="eastAsia"/>
          <w:szCs w:val="18"/>
        </w:rPr>
        <w:t>FMP</w:t>
      </w:r>
      <w:r>
        <w:rPr>
          <w:rFonts w:ascii="微软雅黑" w:hAnsi="微软雅黑" w:cs="微软雅黑" w:hint="eastAsia"/>
          <w:szCs w:val="18"/>
        </w:rPr>
        <w:t>后，</w:t>
      </w:r>
      <w:r>
        <w:rPr>
          <w:rFonts w:ascii="微软雅黑" w:hAnsi="微软雅黑" w:cs="微软雅黑" w:hint="eastAsia"/>
          <w:szCs w:val="18"/>
        </w:rPr>
        <w:t>FMP</w:t>
      </w:r>
      <w:r>
        <w:rPr>
          <w:rFonts w:ascii="微软雅黑" w:hAnsi="微软雅黑" w:cs="微软雅黑" w:hint="eastAsia"/>
          <w:szCs w:val="18"/>
        </w:rPr>
        <w:t>计算逻辑为“上一行的期末余额数减去下一行的发生数”，余额的计算规则会受到交易顺序的影响。但如果同一时间发生的交易顺序改变，则无法准确计算，从而影响对账。</w:t>
      </w:r>
    </w:p>
    <w:p w14:paraId="67FC8578" w14:textId="77777777" w:rsidR="00F6691B" w:rsidRDefault="00927845">
      <w:pPr>
        <w:ind w:firstLine="360"/>
        <w:rPr>
          <w:rFonts w:ascii="微软雅黑" w:hAnsi="微软雅黑" w:cs="微软雅黑"/>
          <w:szCs w:val="18"/>
        </w:rPr>
      </w:pPr>
      <w:r>
        <w:rPr>
          <w:rFonts w:ascii="微软雅黑" w:hAnsi="微软雅黑" w:cs="微软雅黑" w:hint="eastAsia"/>
          <w:b/>
          <w:bCs/>
          <w:szCs w:val="18"/>
        </w:rPr>
        <w:t>建议优化：</w:t>
      </w:r>
      <w:proofErr w:type="gramStart"/>
      <w:r>
        <w:rPr>
          <w:rFonts w:ascii="微软雅黑" w:hAnsi="微软雅黑" w:cs="微软雅黑" w:hint="eastAsia"/>
          <w:szCs w:val="18"/>
        </w:rPr>
        <w:t>按照期</w:t>
      </w:r>
      <w:proofErr w:type="gramEnd"/>
      <w:r>
        <w:rPr>
          <w:rFonts w:ascii="微软雅黑" w:hAnsi="微软雅黑" w:cs="微软雅黑" w:hint="eastAsia"/>
          <w:szCs w:val="18"/>
        </w:rPr>
        <w:t>初余额减去发生数的逻辑进行计算，不受交易顺序影响。</w:t>
      </w:r>
      <w:commentRangeEnd w:id="2"/>
      <w:r w:rsidR="00F32AE7">
        <w:rPr>
          <w:rStyle w:val="ae"/>
        </w:rPr>
        <w:commentReference w:id="2"/>
      </w:r>
    </w:p>
    <w:p w14:paraId="5D993E09" w14:textId="77777777" w:rsidR="00F6691B" w:rsidRDefault="00F6691B">
      <w:pPr>
        <w:ind w:firstLineChars="0" w:firstLine="0"/>
        <w:rPr>
          <w:rFonts w:ascii="微软雅黑" w:hAnsi="微软雅黑" w:cs="微软雅黑"/>
          <w:szCs w:val="18"/>
        </w:rPr>
      </w:pPr>
    </w:p>
    <w:p w14:paraId="5AEDB942" w14:textId="77777777" w:rsidR="00F6691B" w:rsidRDefault="00927845">
      <w:pPr>
        <w:ind w:firstLineChars="0" w:firstLine="0"/>
        <w:rPr>
          <w:rFonts w:ascii="微软雅黑" w:hAnsi="微软雅黑" w:cs="微软雅黑"/>
          <w:szCs w:val="18"/>
        </w:rPr>
      </w:pPr>
      <w:r>
        <w:rPr>
          <w:noProof/>
        </w:rPr>
        <w:drawing>
          <wp:inline distT="0" distB="0" distL="114300" distR="114300" wp14:anchorId="0B7BD3A2" wp14:editId="2872AC7E">
            <wp:extent cx="5269230" cy="1702435"/>
            <wp:effectExtent l="0" t="0" r="7620" b="1206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0"/>
                    <a:stretch>
                      <a:fillRect/>
                    </a:stretch>
                  </pic:blipFill>
                  <pic:spPr>
                    <a:xfrm>
                      <a:off x="0" y="0"/>
                      <a:ext cx="5269230" cy="1702435"/>
                    </a:xfrm>
                    <a:prstGeom prst="rect">
                      <a:avLst/>
                    </a:prstGeom>
                    <a:noFill/>
                    <a:ln>
                      <a:noFill/>
                    </a:ln>
                  </pic:spPr>
                </pic:pic>
              </a:graphicData>
            </a:graphic>
          </wp:inline>
        </w:drawing>
      </w:r>
    </w:p>
    <w:p w14:paraId="6CE8F895" w14:textId="77777777" w:rsidR="00F6691B" w:rsidRDefault="00F6691B">
      <w:pPr>
        <w:ind w:firstLineChars="0" w:firstLine="0"/>
        <w:rPr>
          <w:rFonts w:ascii="微软雅黑" w:hAnsi="微软雅黑" w:cs="微软雅黑"/>
          <w:szCs w:val="18"/>
        </w:rPr>
      </w:pPr>
    </w:p>
    <w:p w14:paraId="409563A4" w14:textId="77777777" w:rsidR="00F6691B" w:rsidRDefault="00F6691B">
      <w:pPr>
        <w:ind w:firstLineChars="0" w:firstLine="0"/>
        <w:rPr>
          <w:rFonts w:ascii="微软雅黑" w:hAnsi="微软雅黑" w:cs="微软雅黑"/>
          <w:szCs w:val="18"/>
        </w:rPr>
      </w:pPr>
    </w:p>
    <w:sectPr w:rsidR="00F669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信美人寿相互保险社" w:date="2020-12-31T17:21:00Z" w:initials="信美人寿相互保险社">
    <w:p w14:paraId="723C7957" w14:textId="4833AE8C" w:rsidR="00BE4FBE" w:rsidRDefault="00BE4FBE">
      <w:pPr>
        <w:pStyle w:val="a3"/>
        <w:ind w:firstLine="420"/>
        <w:rPr>
          <w:rFonts w:hint="eastAsia"/>
        </w:rPr>
      </w:pPr>
      <w:r>
        <w:rPr>
          <w:rStyle w:val="ae"/>
        </w:rPr>
        <w:annotationRef/>
      </w:r>
      <w:r>
        <w:rPr>
          <w:rFonts w:hint="eastAsia"/>
        </w:rPr>
        <w:t>当天开户</w:t>
      </w:r>
      <w:r>
        <w:rPr>
          <w:rFonts w:hint="eastAsia"/>
        </w:rPr>
        <w:t xml:space="preserve"> </w:t>
      </w:r>
      <w:r>
        <w:t xml:space="preserve"> </w:t>
      </w:r>
      <w:r>
        <w:rPr>
          <w:rFonts w:hint="eastAsia"/>
        </w:rPr>
        <w:t>当天推送一次</w:t>
      </w:r>
    </w:p>
  </w:comment>
  <w:comment w:id="1" w:author="信美人寿相互保险社" w:date="2020-12-31T17:00:00Z" w:initials="信美人寿相互保险社">
    <w:p w14:paraId="0526F32A" w14:textId="07953C97" w:rsidR="00F32AE7" w:rsidRDefault="00F32AE7">
      <w:pPr>
        <w:pStyle w:val="a3"/>
        <w:ind w:firstLine="420"/>
        <w:rPr>
          <w:rFonts w:hint="eastAsia"/>
        </w:rPr>
      </w:pPr>
      <w:r>
        <w:rPr>
          <w:rStyle w:val="ae"/>
        </w:rPr>
        <w:annotationRef/>
      </w:r>
      <w:r>
        <w:rPr>
          <w:rFonts w:hint="eastAsia"/>
        </w:rPr>
        <w:t>这个字段与原约定规则不一致。</w:t>
      </w:r>
    </w:p>
  </w:comment>
  <w:comment w:id="2" w:author="信美人寿相互保险社" w:date="2020-12-31T17:00:00Z" w:initials="信美人寿相互保险社">
    <w:p w14:paraId="4E4F7878" w14:textId="2E59F17B" w:rsidR="00F32AE7" w:rsidRDefault="00F32AE7">
      <w:pPr>
        <w:pStyle w:val="a3"/>
        <w:ind w:firstLine="420"/>
        <w:rPr>
          <w:rFonts w:hint="eastAsia"/>
        </w:rPr>
      </w:pPr>
      <w:r>
        <w:rPr>
          <w:rStyle w:val="ae"/>
        </w:rPr>
        <w:annotationRef/>
      </w:r>
      <w:proofErr w:type="gramStart"/>
      <w:r>
        <w:rPr>
          <w:rFonts w:hint="eastAsia"/>
        </w:rPr>
        <w:t>保融账单</w:t>
      </w:r>
      <w:proofErr w:type="gramEnd"/>
      <w:r>
        <w:rPr>
          <w:rFonts w:hint="eastAsia"/>
        </w:rPr>
        <w:t>记录时间的问题，能否记账到毫秒。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3C7957" w15:done="0"/>
  <w15:commentEx w15:paraId="0526F32A" w15:done="0"/>
  <w15:commentEx w15:paraId="4E4F7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872D" w16cex:dateUtc="2020-12-31T09:21:00Z"/>
  <w16cex:commentExtensible w16cex:durableId="23988246" w16cex:dateUtc="2020-12-31T09:00:00Z"/>
  <w16cex:commentExtensible w16cex:durableId="23988228" w16cex:dateUtc="2020-12-31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3C7957" w16cid:durableId="2398872D"/>
  <w16cid:commentId w16cid:paraId="0526F32A" w16cid:durableId="23988246"/>
  <w16cid:commentId w16cid:paraId="4E4F7878" w16cid:durableId="239882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2D5DC" w14:textId="77777777" w:rsidR="00927845" w:rsidRDefault="00927845">
      <w:pPr>
        <w:ind w:firstLine="360"/>
      </w:pPr>
      <w:r>
        <w:separator/>
      </w:r>
    </w:p>
  </w:endnote>
  <w:endnote w:type="continuationSeparator" w:id="0">
    <w:p w14:paraId="1AD06F7D" w14:textId="77777777" w:rsidR="00927845" w:rsidRDefault="0092784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4095" w14:textId="77777777" w:rsidR="00F6691B" w:rsidRDefault="00F6691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A1EA6" w14:textId="77777777" w:rsidR="00F6691B" w:rsidRDefault="00F6691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5E4CD" w14:textId="77777777" w:rsidR="00F6691B" w:rsidRDefault="00F6691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D965F" w14:textId="77777777" w:rsidR="00927845" w:rsidRDefault="00927845">
      <w:pPr>
        <w:ind w:firstLine="360"/>
      </w:pPr>
      <w:r>
        <w:separator/>
      </w:r>
    </w:p>
  </w:footnote>
  <w:footnote w:type="continuationSeparator" w:id="0">
    <w:p w14:paraId="5D537B16" w14:textId="77777777" w:rsidR="00927845" w:rsidRDefault="00927845">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2BC6" w14:textId="77777777" w:rsidR="00F6691B" w:rsidRDefault="00F6691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FF11E" w14:textId="77777777" w:rsidR="00F6691B" w:rsidRDefault="00F6691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93FE" w14:textId="77777777" w:rsidR="00F6691B" w:rsidRDefault="00F6691B">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368"/>
    <w:multiLevelType w:val="multilevel"/>
    <w:tmpl w:val="16D22368"/>
    <w:lvl w:ilvl="0">
      <w:start w:val="1"/>
      <w:numFmt w:val="decimal"/>
      <w:pStyle w:val="1"/>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15:restartNumberingAfterBreak="0">
    <w:nsid w:val="320D5AA1"/>
    <w:multiLevelType w:val="multilevel"/>
    <w:tmpl w:val="320D5AA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8C78958"/>
    <w:multiLevelType w:val="singleLevel"/>
    <w:tmpl w:val="58C78958"/>
    <w:lvl w:ilvl="0">
      <w:start w:val="1"/>
      <w:numFmt w:val="chineseCounting"/>
      <w:suff w:val="nothing"/>
      <w:lvlText w:val="%1、"/>
      <w:lvlJc w:val="left"/>
      <w:rPr>
        <w:rFonts w:hint="eastAsia"/>
      </w:rPr>
    </w:lvl>
  </w:abstractNum>
  <w:abstractNum w:abstractNumId="3" w15:restartNumberingAfterBreak="0">
    <w:nsid w:val="5F62072C"/>
    <w:multiLevelType w:val="multilevel"/>
    <w:tmpl w:val="5F62072C"/>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F2B"/>
    <w:rsid w:val="00013581"/>
    <w:rsid w:val="00036F7D"/>
    <w:rsid w:val="00044614"/>
    <w:rsid w:val="0005658D"/>
    <w:rsid w:val="000C2F42"/>
    <w:rsid w:val="00135442"/>
    <w:rsid w:val="00177F24"/>
    <w:rsid w:val="001A742E"/>
    <w:rsid w:val="001B3124"/>
    <w:rsid w:val="001D7E86"/>
    <w:rsid w:val="001E0FE3"/>
    <w:rsid w:val="00237436"/>
    <w:rsid w:val="00243C04"/>
    <w:rsid w:val="00247196"/>
    <w:rsid w:val="00276934"/>
    <w:rsid w:val="002D4134"/>
    <w:rsid w:val="00333F5E"/>
    <w:rsid w:val="0034452D"/>
    <w:rsid w:val="003E7D77"/>
    <w:rsid w:val="003F7A7B"/>
    <w:rsid w:val="004A0397"/>
    <w:rsid w:val="005D7358"/>
    <w:rsid w:val="005E31B0"/>
    <w:rsid w:val="006228AD"/>
    <w:rsid w:val="00627191"/>
    <w:rsid w:val="00692C35"/>
    <w:rsid w:val="00696BC3"/>
    <w:rsid w:val="007174FA"/>
    <w:rsid w:val="007A1161"/>
    <w:rsid w:val="00836B5A"/>
    <w:rsid w:val="008A26B8"/>
    <w:rsid w:val="00910A1F"/>
    <w:rsid w:val="00924F2B"/>
    <w:rsid w:val="00927845"/>
    <w:rsid w:val="00980D90"/>
    <w:rsid w:val="00982BE8"/>
    <w:rsid w:val="009939B6"/>
    <w:rsid w:val="00997028"/>
    <w:rsid w:val="009F22FE"/>
    <w:rsid w:val="00A15285"/>
    <w:rsid w:val="00A325CB"/>
    <w:rsid w:val="00A423F7"/>
    <w:rsid w:val="00A56262"/>
    <w:rsid w:val="00A730E7"/>
    <w:rsid w:val="00B0581E"/>
    <w:rsid w:val="00B44AAF"/>
    <w:rsid w:val="00B810D3"/>
    <w:rsid w:val="00BE0E62"/>
    <w:rsid w:val="00BE4FBE"/>
    <w:rsid w:val="00BF0504"/>
    <w:rsid w:val="00BF56A7"/>
    <w:rsid w:val="00C1180D"/>
    <w:rsid w:val="00C72429"/>
    <w:rsid w:val="00C91D9D"/>
    <w:rsid w:val="00CB20C2"/>
    <w:rsid w:val="00CB7512"/>
    <w:rsid w:val="00CC0847"/>
    <w:rsid w:val="00CC18D8"/>
    <w:rsid w:val="00CC3198"/>
    <w:rsid w:val="00CE5DEE"/>
    <w:rsid w:val="00D06352"/>
    <w:rsid w:val="00D279F0"/>
    <w:rsid w:val="00D54806"/>
    <w:rsid w:val="00D60546"/>
    <w:rsid w:val="00D96963"/>
    <w:rsid w:val="00DC240D"/>
    <w:rsid w:val="00E01666"/>
    <w:rsid w:val="00E83FCD"/>
    <w:rsid w:val="00EA50B6"/>
    <w:rsid w:val="00EF3FFA"/>
    <w:rsid w:val="00F00FFB"/>
    <w:rsid w:val="00F1301B"/>
    <w:rsid w:val="00F173A7"/>
    <w:rsid w:val="00F32AE7"/>
    <w:rsid w:val="00F6691B"/>
    <w:rsid w:val="00F725F0"/>
    <w:rsid w:val="00FA4956"/>
    <w:rsid w:val="00FD0370"/>
    <w:rsid w:val="00FD28BC"/>
    <w:rsid w:val="016B0AF1"/>
    <w:rsid w:val="08747DCB"/>
    <w:rsid w:val="0955275F"/>
    <w:rsid w:val="0C2F3371"/>
    <w:rsid w:val="0DE03C44"/>
    <w:rsid w:val="123A0038"/>
    <w:rsid w:val="128F4840"/>
    <w:rsid w:val="14B346F2"/>
    <w:rsid w:val="161673C6"/>
    <w:rsid w:val="178C1909"/>
    <w:rsid w:val="18CD67D1"/>
    <w:rsid w:val="1A170654"/>
    <w:rsid w:val="1C44221C"/>
    <w:rsid w:val="1C9237CF"/>
    <w:rsid w:val="1FC5361D"/>
    <w:rsid w:val="20B33208"/>
    <w:rsid w:val="20BD54EB"/>
    <w:rsid w:val="222650FC"/>
    <w:rsid w:val="24B52BF0"/>
    <w:rsid w:val="24DA463F"/>
    <w:rsid w:val="26E302AD"/>
    <w:rsid w:val="2A916AEA"/>
    <w:rsid w:val="2AAE0FDB"/>
    <w:rsid w:val="2AC90F61"/>
    <w:rsid w:val="2B9E5CB7"/>
    <w:rsid w:val="2CDC65A8"/>
    <w:rsid w:val="2D3441D2"/>
    <w:rsid w:val="2F7E240E"/>
    <w:rsid w:val="2FA95910"/>
    <w:rsid w:val="30CF4CB8"/>
    <w:rsid w:val="32CD0642"/>
    <w:rsid w:val="351465F5"/>
    <w:rsid w:val="358F68D0"/>
    <w:rsid w:val="360A1EC8"/>
    <w:rsid w:val="3DC02D2D"/>
    <w:rsid w:val="3E59701F"/>
    <w:rsid w:val="3EDD5F44"/>
    <w:rsid w:val="3F902A40"/>
    <w:rsid w:val="40CB1550"/>
    <w:rsid w:val="41F42904"/>
    <w:rsid w:val="429F1BC6"/>
    <w:rsid w:val="430C25F8"/>
    <w:rsid w:val="438F0D41"/>
    <w:rsid w:val="43D72DE3"/>
    <w:rsid w:val="461A4713"/>
    <w:rsid w:val="478A7FCC"/>
    <w:rsid w:val="4C850BC2"/>
    <w:rsid w:val="4F530437"/>
    <w:rsid w:val="4FE573B9"/>
    <w:rsid w:val="4FF10B25"/>
    <w:rsid w:val="532A079E"/>
    <w:rsid w:val="56E6485C"/>
    <w:rsid w:val="58270860"/>
    <w:rsid w:val="58341DDD"/>
    <w:rsid w:val="58CB0C4B"/>
    <w:rsid w:val="5C560EB5"/>
    <w:rsid w:val="617D195D"/>
    <w:rsid w:val="61F20BD5"/>
    <w:rsid w:val="6200702C"/>
    <w:rsid w:val="65EF74E7"/>
    <w:rsid w:val="66EE75BD"/>
    <w:rsid w:val="67C608DC"/>
    <w:rsid w:val="67F517CA"/>
    <w:rsid w:val="69B05439"/>
    <w:rsid w:val="6CC110A1"/>
    <w:rsid w:val="6CCE29A2"/>
    <w:rsid w:val="6D9C0565"/>
    <w:rsid w:val="6F896DBE"/>
    <w:rsid w:val="76AF29BC"/>
    <w:rsid w:val="79094C8D"/>
    <w:rsid w:val="7A475E56"/>
    <w:rsid w:val="7A6568BB"/>
    <w:rsid w:val="7BA43945"/>
    <w:rsid w:val="7BCE5E42"/>
    <w:rsid w:val="7C3C7FCE"/>
    <w:rsid w:val="7E1C0B2F"/>
    <w:rsid w:val="7E6437E0"/>
    <w:rsid w:val="7F8D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5FE59"/>
  <w15:docId w15:val="{F2DC4A3A-70EC-4E22-A48C-D9B3418C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微软雅黑" w:hAnsiTheme="minorHAnsi" w:cstheme="minorBidi"/>
      <w:kern w:val="2"/>
      <w:sz w:val="18"/>
      <w:szCs w:val="22"/>
    </w:rPr>
  </w:style>
  <w:style w:type="paragraph" w:styleId="1">
    <w:name w:val="heading 1"/>
    <w:basedOn w:val="a"/>
    <w:next w:val="a"/>
    <w:link w:val="10"/>
    <w:uiPriority w:val="9"/>
    <w:qFormat/>
    <w:pPr>
      <w:keepNext/>
      <w:keepLines/>
      <w:numPr>
        <w:numId w:val="1"/>
      </w:numPr>
      <w:spacing w:before="340" w:after="330" w:line="578" w:lineRule="auto"/>
      <w:ind w:firstLineChars="0" w:firstLine="0"/>
      <w:outlineLvl w:val="0"/>
    </w:pPr>
    <w:rPr>
      <w:b/>
      <w:bCs/>
      <w:kern w:val="44"/>
      <w:sz w:val="21"/>
      <w:szCs w:val="44"/>
    </w:rPr>
  </w:style>
  <w:style w:type="paragraph" w:styleId="2">
    <w:name w:val="heading 2"/>
    <w:basedOn w:val="a"/>
    <w:next w:val="a"/>
    <w:link w:val="20"/>
    <w:uiPriority w:val="9"/>
    <w:unhideWhenUsed/>
    <w:qFormat/>
    <w:pPr>
      <w:keepNext/>
      <w:keepLines/>
      <w:numPr>
        <w:numId w:val="2"/>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Cs w:val="18"/>
    </w:rPr>
  </w:style>
  <w:style w:type="paragraph" w:styleId="a7">
    <w:name w:val="footer"/>
    <w:basedOn w:val="a"/>
    <w:link w:val="a8"/>
    <w:uiPriority w:val="99"/>
    <w:unhideWhenUsed/>
    <w:qFormat/>
    <w:pPr>
      <w:tabs>
        <w:tab w:val="center" w:pos="4153"/>
        <w:tab w:val="right" w:pos="8306"/>
      </w:tabs>
      <w:snapToGrid w:val="0"/>
      <w:jc w:val="left"/>
    </w:pPr>
    <w:rPr>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eastAsia="微软雅黑"/>
      <w:b/>
      <w:bCs/>
      <w:kern w:val="44"/>
      <w:szCs w:val="44"/>
    </w:rPr>
  </w:style>
  <w:style w:type="character" w:customStyle="1" w:styleId="20">
    <w:name w:val="标题 2 字符"/>
    <w:basedOn w:val="a0"/>
    <w:link w:val="2"/>
    <w:uiPriority w:val="9"/>
    <w:qFormat/>
    <w:rPr>
      <w:rFonts w:asciiTheme="majorHAnsi" w:eastAsia="微软雅黑" w:hAnsiTheme="majorHAnsi" w:cstheme="majorBidi"/>
      <w:b/>
      <w:bCs/>
      <w:szCs w:val="32"/>
    </w:rPr>
  </w:style>
  <w:style w:type="character" w:customStyle="1" w:styleId="30">
    <w:name w:val="标题 3 字符"/>
    <w:basedOn w:val="a0"/>
    <w:link w:val="3"/>
    <w:uiPriority w:val="9"/>
    <w:qFormat/>
    <w:rPr>
      <w:rFonts w:eastAsia="黑体"/>
      <w:b/>
      <w:bCs/>
      <w:szCs w:val="32"/>
    </w:rPr>
  </w:style>
  <w:style w:type="character" w:customStyle="1" w:styleId="a8">
    <w:name w:val="页脚 字符"/>
    <w:basedOn w:val="a0"/>
    <w:link w:val="a7"/>
    <w:uiPriority w:val="99"/>
    <w:qFormat/>
    <w:rPr>
      <w:rFonts w:eastAsia="微软雅黑"/>
      <w:sz w:val="18"/>
      <w:szCs w:val="18"/>
    </w:rPr>
  </w:style>
  <w:style w:type="character" w:customStyle="1" w:styleId="aa">
    <w:name w:val="页眉 字符"/>
    <w:basedOn w:val="a0"/>
    <w:link w:val="a9"/>
    <w:uiPriority w:val="99"/>
    <w:qFormat/>
    <w:rPr>
      <w:rFonts w:eastAsia="微软雅黑"/>
      <w:sz w:val="18"/>
      <w:szCs w:val="18"/>
    </w:rPr>
  </w:style>
  <w:style w:type="paragraph" w:styleId="af">
    <w:name w:val="List Paragraph"/>
    <w:basedOn w:val="a"/>
    <w:link w:val="af0"/>
    <w:uiPriority w:val="34"/>
    <w:qFormat/>
    <w:pPr>
      <w:ind w:firstLine="420"/>
    </w:pPr>
  </w:style>
  <w:style w:type="character" w:customStyle="1" w:styleId="af0">
    <w:name w:val="列表段落 字符"/>
    <w:basedOn w:val="a0"/>
    <w:link w:val="af"/>
    <w:uiPriority w:val="34"/>
    <w:qFormat/>
    <w:locked/>
    <w:rPr>
      <w:rFonts w:eastAsia="微软雅黑"/>
      <w:sz w:val="18"/>
    </w:rPr>
  </w:style>
  <w:style w:type="character" w:customStyle="1" w:styleId="a6">
    <w:name w:val="批注框文本 字符"/>
    <w:basedOn w:val="a0"/>
    <w:link w:val="a5"/>
    <w:uiPriority w:val="99"/>
    <w:semiHidden/>
    <w:qFormat/>
    <w:rPr>
      <w:rFonts w:eastAsia="微软雅黑"/>
      <w:sz w:val="18"/>
      <w:szCs w:val="18"/>
    </w:rPr>
  </w:style>
  <w:style w:type="character" w:customStyle="1" w:styleId="a4">
    <w:name w:val="批注文字 字符"/>
    <w:basedOn w:val="a0"/>
    <w:link w:val="a3"/>
    <w:uiPriority w:val="99"/>
    <w:semiHidden/>
    <w:qFormat/>
    <w:rPr>
      <w:rFonts w:eastAsia="微软雅黑"/>
      <w:sz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c">
    <w:name w:val="批注主题 字符"/>
    <w:basedOn w:val="a4"/>
    <w:link w:val="ab"/>
    <w:uiPriority w:val="99"/>
    <w:semiHidden/>
    <w:qFormat/>
    <w:rPr>
      <w:rFonts w:eastAsia="微软雅黑"/>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779FAF16-462F-471C-B468-FC67138AB0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信美人寿相互保险社</dc:creator>
  <cp:lastModifiedBy>信美人寿相互保险社</cp:lastModifiedBy>
  <cp:revision>2</cp:revision>
  <dcterms:created xsi:type="dcterms:W3CDTF">2020-12-31T10:01:00Z</dcterms:created>
  <dcterms:modified xsi:type="dcterms:W3CDTF">2020-12-31T10:01:00Z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