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2" w:leftChars="-12" w:firstLine="0" w:firstLineChars="0"/>
        <w:jc w:val="center"/>
        <w:rPr>
          <w:rFonts w:ascii="微软雅黑" w:hAnsi="微软雅黑"/>
          <w:b/>
          <w:sz w:val="28"/>
        </w:rPr>
      </w:pPr>
    </w:p>
    <w:p>
      <w:pPr>
        <w:ind w:firstLine="0" w:firstLineChars="0"/>
        <w:jc w:val="center"/>
        <w:rPr>
          <w:rFonts w:hint="default" w:ascii="微软雅黑" w:hAnsi="微软雅黑" w:eastAsia="微软雅黑"/>
          <w:b/>
          <w:sz w:val="28"/>
          <w:lang w:val="en-US" w:eastAsia="zh-CN"/>
        </w:rPr>
      </w:pPr>
      <w:r>
        <w:rPr>
          <w:rFonts w:hint="eastAsia" w:ascii="微软雅黑" w:hAnsi="微软雅黑"/>
          <w:b/>
          <w:sz w:val="28"/>
          <w:lang w:val="en-US" w:eastAsia="zh-CN"/>
        </w:rPr>
        <w:t>Rums“收付费管理”模块功能优化</w:t>
      </w:r>
    </w:p>
    <w:p>
      <w:pPr>
        <w:ind w:firstLine="0" w:firstLineChars="0"/>
        <w:jc w:val="center"/>
        <w:rPr>
          <w:rFonts w:ascii="微软雅黑" w:hAnsi="微软雅黑"/>
          <w:b/>
          <w:sz w:val="28"/>
        </w:rPr>
      </w:pPr>
      <w:r>
        <w:rPr>
          <w:rFonts w:hint="eastAsia" w:ascii="微软雅黑" w:hAnsi="微软雅黑"/>
          <w:b/>
          <w:sz w:val="28"/>
        </w:rPr>
        <w:t>产品需求说明书</w:t>
      </w:r>
    </w:p>
    <w:p>
      <w:pPr>
        <w:ind w:firstLine="0" w:firstLineChars="0"/>
        <w:jc w:val="center"/>
        <w:rPr>
          <w:rFonts w:ascii="微软雅黑" w:hAnsi="微软雅黑"/>
          <w:b/>
          <w:sz w:val="28"/>
        </w:rPr>
      </w:pPr>
    </w:p>
    <w:p>
      <w:pPr>
        <w:ind w:firstLine="360"/>
      </w:pPr>
    </w:p>
    <w:p>
      <w:pPr>
        <w:ind w:firstLineChars="111"/>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0" w:firstLineChars="0"/>
      </w:pPr>
    </w:p>
    <w:p>
      <w:pPr>
        <w:pStyle w:val="2"/>
        <w:ind w:firstLine="420"/>
      </w:pPr>
      <w:r>
        <w:rPr>
          <w:rFonts w:hint="eastAsia"/>
        </w:rPr>
        <w:t>【版本日志</w:t>
      </w:r>
      <w:r>
        <w:t>】</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4"/>
        <w:gridCol w:w="1142"/>
        <w:gridCol w:w="1597"/>
        <w:gridCol w:w="4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pct"/>
            <w:shd w:val="clear" w:color="auto" w:fill="8EAADB" w:themeFill="accent1" w:themeFillTint="99"/>
          </w:tcPr>
          <w:p>
            <w:pPr>
              <w:adjustRightInd w:val="0"/>
              <w:snapToGrid w:val="0"/>
              <w:ind w:firstLine="0" w:firstLineChars="0"/>
              <w:rPr>
                <w:rFonts w:ascii="微软雅黑" w:hAnsi="微软雅黑"/>
                <w:kern w:val="0"/>
                <w:szCs w:val="21"/>
              </w:rPr>
            </w:pPr>
            <w:r>
              <w:rPr>
                <w:rFonts w:hint="eastAsia" w:ascii="微软雅黑" w:hAnsi="微软雅黑"/>
                <w:kern w:val="0"/>
                <w:szCs w:val="21"/>
              </w:rPr>
              <w:t>版本</w:t>
            </w:r>
          </w:p>
        </w:tc>
        <w:tc>
          <w:tcPr>
            <w:tcW w:w="670" w:type="pct"/>
            <w:shd w:val="clear" w:color="auto" w:fill="8EAADB" w:themeFill="accent1" w:themeFillTint="99"/>
          </w:tcPr>
          <w:p>
            <w:pPr>
              <w:adjustRightInd w:val="0"/>
              <w:snapToGrid w:val="0"/>
              <w:ind w:firstLine="0" w:firstLineChars="0"/>
              <w:rPr>
                <w:rFonts w:ascii="微软雅黑" w:hAnsi="微软雅黑"/>
                <w:kern w:val="0"/>
                <w:szCs w:val="21"/>
              </w:rPr>
            </w:pPr>
            <w:r>
              <w:rPr>
                <w:rFonts w:hint="eastAsia" w:ascii="微软雅黑" w:hAnsi="微软雅黑"/>
                <w:kern w:val="0"/>
                <w:szCs w:val="21"/>
              </w:rPr>
              <w:t>更新人</w:t>
            </w:r>
          </w:p>
        </w:tc>
        <w:tc>
          <w:tcPr>
            <w:tcW w:w="937" w:type="pct"/>
            <w:shd w:val="clear" w:color="auto" w:fill="8EAADB" w:themeFill="accent1" w:themeFillTint="99"/>
          </w:tcPr>
          <w:p>
            <w:pPr>
              <w:adjustRightInd w:val="0"/>
              <w:snapToGrid w:val="0"/>
              <w:ind w:firstLine="0" w:firstLineChars="0"/>
              <w:rPr>
                <w:rFonts w:ascii="微软雅黑" w:hAnsi="微软雅黑"/>
                <w:kern w:val="0"/>
                <w:szCs w:val="21"/>
              </w:rPr>
            </w:pPr>
            <w:r>
              <w:rPr>
                <w:rFonts w:hint="eastAsia" w:ascii="微软雅黑" w:hAnsi="微软雅黑"/>
                <w:kern w:val="0"/>
                <w:szCs w:val="21"/>
              </w:rPr>
              <w:t>更新日期</w:t>
            </w:r>
          </w:p>
        </w:tc>
        <w:tc>
          <w:tcPr>
            <w:tcW w:w="2857" w:type="pct"/>
            <w:shd w:val="clear" w:color="auto" w:fill="8EAADB" w:themeFill="accent1" w:themeFillTint="99"/>
          </w:tcPr>
          <w:p>
            <w:pPr>
              <w:adjustRightInd w:val="0"/>
              <w:snapToGrid w:val="0"/>
              <w:ind w:firstLine="0" w:firstLineChars="0"/>
              <w:rPr>
                <w:rFonts w:ascii="微软雅黑" w:hAnsi="微软雅黑"/>
                <w:kern w:val="0"/>
                <w:szCs w:val="21"/>
              </w:rPr>
            </w:pPr>
            <w:r>
              <w:rPr>
                <w:rFonts w:hint="eastAsia" w:ascii="微软雅黑" w:hAnsi="微软雅黑"/>
                <w:kern w:val="0"/>
                <w:szCs w:val="21"/>
              </w:rPr>
              <w:t>更新内容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pct"/>
            <w:vAlign w:val="center"/>
          </w:tcPr>
          <w:p>
            <w:pPr>
              <w:adjustRightInd w:val="0"/>
              <w:snapToGrid w:val="0"/>
              <w:ind w:firstLine="0" w:firstLineChars="0"/>
              <w:rPr>
                <w:rFonts w:ascii="微软雅黑" w:hAnsi="微软雅黑"/>
                <w:kern w:val="0"/>
                <w:szCs w:val="18"/>
              </w:rPr>
            </w:pPr>
          </w:p>
        </w:tc>
        <w:tc>
          <w:tcPr>
            <w:tcW w:w="670" w:type="pct"/>
            <w:vAlign w:val="center"/>
          </w:tcPr>
          <w:p>
            <w:pPr>
              <w:adjustRightInd w:val="0"/>
              <w:snapToGrid w:val="0"/>
              <w:ind w:firstLine="0" w:firstLineChars="0"/>
              <w:rPr>
                <w:rFonts w:ascii="微软雅黑" w:hAnsi="微软雅黑"/>
                <w:kern w:val="0"/>
                <w:szCs w:val="18"/>
              </w:rPr>
            </w:pPr>
          </w:p>
        </w:tc>
        <w:tc>
          <w:tcPr>
            <w:tcW w:w="937" w:type="pct"/>
            <w:vAlign w:val="center"/>
          </w:tcPr>
          <w:p>
            <w:pPr>
              <w:adjustRightInd w:val="0"/>
              <w:snapToGrid w:val="0"/>
              <w:ind w:firstLine="0" w:firstLineChars="0"/>
              <w:rPr>
                <w:rFonts w:ascii="微软雅黑" w:hAnsi="微软雅黑"/>
                <w:kern w:val="0"/>
                <w:szCs w:val="18"/>
              </w:rPr>
            </w:pPr>
          </w:p>
        </w:tc>
        <w:tc>
          <w:tcPr>
            <w:tcW w:w="2857" w:type="pct"/>
            <w:vAlign w:val="center"/>
          </w:tcPr>
          <w:p>
            <w:pPr>
              <w:pStyle w:val="20"/>
              <w:adjustRightInd w:val="0"/>
              <w:snapToGrid w:val="0"/>
              <w:ind w:left="33" w:firstLine="0" w:firstLineChars="0"/>
              <w:rPr>
                <w:rFonts w:ascii="微软雅黑" w:hAnsi="微软雅黑"/>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pct"/>
            <w:vAlign w:val="center"/>
          </w:tcPr>
          <w:p>
            <w:pPr>
              <w:adjustRightInd w:val="0"/>
              <w:snapToGrid w:val="0"/>
              <w:ind w:firstLine="0" w:firstLineChars="0"/>
              <w:rPr>
                <w:rFonts w:ascii="微软雅黑" w:hAnsi="微软雅黑"/>
                <w:kern w:val="0"/>
                <w:szCs w:val="18"/>
              </w:rPr>
            </w:pPr>
          </w:p>
        </w:tc>
        <w:tc>
          <w:tcPr>
            <w:tcW w:w="670" w:type="pct"/>
            <w:vAlign w:val="center"/>
          </w:tcPr>
          <w:p>
            <w:pPr>
              <w:adjustRightInd w:val="0"/>
              <w:snapToGrid w:val="0"/>
              <w:ind w:firstLine="0" w:firstLineChars="0"/>
              <w:rPr>
                <w:rFonts w:ascii="微软雅黑" w:hAnsi="微软雅黑"/>
                <w:kern w:val="0"/>
                <w:szCs w:val="18"/>
              </w:rPr>
            </w:pPr>
          </w:p>
        </w:tc>
        <w:tc>
          <w:tcPr>
            <w:tcW w:w="937" w:type="pct"/>
            <w:vAlign w:val="center"/>
          </w:tcPr>
          <w:p>
            <w:pPr>
              <w:adjustRightInd w:val="0"/>
              <w:snapToGrid w:val="0"/>
              <w:ind w:firstLine="0" w:firstLineChars="0"/>
              <w:rPr>
                <w:rFonts w:ascii="微软雅黑" w:hAnsi="微软雅黑"/>
                <w:kern w:val="0"/>
                <w:szCs w:val="18"/>
              </w:rPr>
            </w:pPr>
          </w:p>
        </w:tc>
        <w:tc>
          <w:tcPr>
            <w:tcW w:w="2857" w:type="pct"/>
            <w:vAlign w:val="center"/>
          </w:tcPr>
          <w:p>
            <w:pPr>
              <w:adjustRightInd w:val="0"/>
              <w:snapToGrid w:val="0"/>
              <w:ind w:firstLine="0" w:firstLineChars="0"/>
              <w:rPr>
                <w:rFonts w:ascii="微软雅黑" w:hAnsi="微软雅黑"/>
                <w:kern w:val="0"/>
                <w:szCs w:val="18"/>
              </w:rPr>
            </w:pPr>
          </w:p>
        </w:tc>
      </w:tr>
    </w:tbl>
    <w:p>
      <w:pPr>
        <w:ind w:firstLine="360"/>
      </w:pPr>
    </w:p>
    <w:p>
      <w:pPr>
        <w:pStyle w:val="2"/>
        <w:numPr>
          <w:ilvl w:val="0"/>
          <w:numId w:val="3"/>
        </w:numPr>
      </w:pPr>
      <w:r>
        <w:rPr>
          <w:rFonts w:hint="eastAsia"/>
        </w:rPr>
        <w:t>背景和目标</w:t>
      </w:r>
    </w:p>
    <w:p>
      <w:pPr>
        <w:numPr>
          <w:ilvl w:val="0"/>
          <w:numId w:val="0"/>
        </w:numPr>
        <w:ind w:firstLine="420" w:firstLineChars="200"/>
        <w:rPr>
          <w:rFonts w:hint="eastAsia" w:ascii="微软雅黑" w:hAnsi="微软雅黑" w:cs="微软雅黑"/>
          <w:color w:val="auto"/>
          <w:sz w:val="21"/>
          <w:szCs w:val="21"/>
          <w:lang w:val="en-US" w:eastAsia="zh-CN"/>
        </w:rPr>
      </w:pPr>
      <w:r>
        <w:rPr>
          <w:rFonts w:hint="eastAsia" w:ascii="微软雅黑" w:hAnsi="微软雅黑" w:cs="微软雅黑"/>
          <w:color w:val="auto"/>
          <w:sz w:val="21"/>
          <w:szCs w:val="21"/>
          <w:lang w:val="en-US" w:eastAsia="zh-CN"/>
        </w:rPr>
        <w:t>财务资金岗日常资金管理过程中使用“RUMS—收付费管理”相关功能时，部分功能已无法完全满足管理要求。</w:t>
      </w:r>
    </w:p>
    <w:p>
      <w:pPr>
        <w:numPr>
          <w:ilvl w:val="0"/>
          <w:numId w:val="0"/>
        </w:numPr>
        <w:ind w:firstLine="420" w:firstLineChars="200"/>
        <w:rPr>
          <w:rFonts w:hint="eastAsia" w:ascii="微软雅黑" w:hAnsi="微软雅黑" w:cs="微软雅黑"/>
          <w:color w:val="auto"/>
          <w:sz w:val="21"/>
          <w:szCs w:val="21"/>
          <w:lang w:val="en-US" w:eastAsia="zh-CN"/>
        </w:rPr>
      </w:pPr>
      <w:r>
        <w:rPr>
          <w:rFonts w:hint="eastAsia" w:ascii="微软雅黑" w:hAnsi="微软雅黑" w:cs="微软雅黑"/>
          <w:color w:val="auto"/>
          <w:sz w:val="21"/>
          <w:szCs w:val="21"/>
          <w:lang w:val="en-US" w:eastAsia="zh-CN"/>
        </w:rPr>
        <w:t>为提高自动化流转率、尽量避免人工干预、降低操作风险，申请对“RUMS—收付费管理”的部分功能进行优化。</w:t>
      </w:r>
    </w:p>
    <w:p>
      <w:pPr>
        <w:pStyle w:val="2"/>
        <w:numPr>
          <w:ilvl w:val="0"/>
          <w:numId w:val="3"/>
        </w:numPr>
        <w:rPr>
          <w:rFonts w:hint="eastAsia" w:ascii="微软雅黑" w:hAnsi="微软雅黑" w:eastAsia="微软雅黑" w:cs="微软雅黑"/>
          <w:b/>
          <w:bCs/>
          <w:color w:val="auto"/>
          <w:kern w:val="2"/>
          <w:sz w:val="24"/>
          <w:szCs w:val="24"/>
          <w:lang w:val="en-US" w:eastAsia="zh-CN" w:bidi="ar-SA"/>
        </w:rPr>
      </w:pPr>
      <w:r>
        <w:rPr>
          <w:rFonts w:hint="eastAsia" w:ascii="微软雅黑" w:hAnsi="微软雅黑" w:eastAsia="微软雅黑" w:cs="微软雅黑"/>
          <w:b/>
          <w:bCs/>
          <w:color w:val="auto"/>
          <w:kern w:val="2"/>
          <w:sz w:val="24"/>
          <w:szCs w:val="24"/>
          <w:lang w:val="en-US" w:eastAsia="zh-CN" w:bidi="ar-SA"/>
        </w:rPr>
        <w:t xml:space="preserve">产品概述 </w:t>
      </w:r>
    </w:p>
    <w:p>
      <w:pPr>
        <w:pStyle w:val="3"/>
        <w:numPr>
          <w:ilvl w:val="1"/>
          <w:numId w:val="3"/>
        </w:numPr>
        <w:rPr>
          <w:rFonts w:hint="eastAsia" w:ascii="微软雅黑" w:hAnsi="微软雅黑" w:eastAsia="微软雅黑" w:cs="微软雅黑"/>
          <w:b/>
          <w:bCs/>
          <w:color w:val="auto"/>
          <w:kern w:val="2"/>
          <w:sz w:val="24"/>
          <w:szCs w:val="24"/>
          <w:lang w:val="en-US" w:eastAsia="zh-CN" w:bidi="ar-SA"/>
        </w:rPr>
      </w:pPr>
      <w:r>
        <w:rPr>
          <w:rFonts w:hint="eastAsia" w:ascii="微软雅黑" w:hAnsi="微软雅黑" w:eastAsia="微软雅黑" w:cs="微软雅黑"/>
          <w:b/>
          <w:bCs/>
          <w:color w:val="auto"/>
          <w:kern w:val="2"/>
          <w:sz w:val="24"/>
          <w:szCs w:val="24"/>
          <w:lang w:val="en-US" w:eastAsia="zh-CN" w:bidi="ar-SA"/>
        </w:rPr>
        <w:t xml:space="preserve">需求内容 </w:t>
      </w:r>
    </w:p>
    <w:p>
      <w:pPr>
        <w:rPr>
          <w:rFonts w:hint="eastAsia" w:ascii="微软雅黑" w:hAnsi="微软雅黑" w:cs="微软雅黑"/>
          <w:b/>
          <w:bCs/>
          <w:color w:val="auto"/>
          <w:sz w:val="21"/>
          <w:szCs w:val="21"/>
          <w:lang w:val="en-US" w:eastAsia="zh-CN"/>
        </w:rPr>
      </w:pPr>
      <w:r>
        <w:rPr>
          <w:rFonts w:hint="eastAsia" w:ascii="微软雅黑" w:hAnsi="微软雅黑" w:cs="微软雅黑"/>
          <w:b/>
          <w:bCs/>
          <w:color w:val="auto"/>
          <w:sz w:val="21"/>
          <w:szCs w:val="21"/>
          <w:lang w:val="en-US" w:eastAsia="zh-CN"/>
        </w:rPr>
        <w:t>涉及的相关内容如下：</w:t>
      </w:r>
    </w:p>
    <w:p>
      <w:pPr>
        <w:numPr>
          <w:ilvl w:val="0"/>
          <w:numId w:val="4"/>
        </w:numPr>
        <w:ind w:firstLine="420" w:firstLineChars="200"/>
        <w:rPr>
          <w:rFonts w:hint="eastAsia" w:ascii="微软雅黑" w:hAnsi="微软雅黑" w:cs="微软雅黑"/>
          <w:b/>
          <w:bCs/>
          <w:color w:val="auto"/>
          <w:sz w:val="21"/>
          <w:szCs w:val="21"/>
          <w:lang w:val="en-US" w:eastAsia="zh-CN"/>
        </w:rPr>
      </w:pPr>
      <w:r>
        <w:rPr>
          <w:rFonts w:hint="eastAsia" w:ascii="微软雅黑" w:hAnsi="微软雅黑" w:cs="微软雅黑"/>
          <w:b/>
          <w:bCs/>
          <w:color w:val="auto"/>
          <w:sz w:val="21"/>
          <w:szCs w:val="21"/>
          <w:lang w:val="en-US" w:eastAsia="zh-CN"/>
        </w:rPr>
        <w:t>收、付费交易失败后返回码值异常。</w:t>
      </w:r>
    </w:p>
    <w:p>
      <w:pPr>
        <w:numPr>
          <w:ilvl w:val="0"/>
          <w:numId w:val="0"/>
        </w:numPr>
        <w:ind w:firstLine="420" w:firstLineChars="200"/>
        <w:rPr>
          <w:rFonts w:hint="eastAsia" w:ascii="微软雅黑" w:hAnsi="微软雅黑" w:cs="微软雅黑"/>
          <w:color w:val="auto"/>
          <w:sz w:val="21"/>
          <w:szCs w:val="21"/>
          <w:lang w:val="en-US" w:eastAsia="zh-CN"/>
        </w:rPr>
      </w:pPr>
      <w:r>
        <w:rPr>
          <w:rFonts w:hint="eastAsia" w:ascii="微软雅黑" w:hAnsi="微软雅黑" w:cs="微软雅黑"/>
          <w:b/>
          <w:bCs/>
          <w:color w:val="auto"/>
          <w:sz w:val="21"/>
          <w:szCs w:val="21"/>
          <w:lang w:val="en-US" w:eastAsia="zh-CN"/>
        </w:rPr>
        <w:t>现状：</w:t>
      </w:r>
      <w:r>
        <w:rPr>
          <w:rFonts w:hint="eastAsia" w:ascii="微软雅黑" w:hAnsi="微软雅黑" w:cs="微软雅黑"/>
          <w:color w:val="auto"/>
          <w:sz w:val="21"/>
          <w:szCs w:val="21"/>
          <w:lang w:val="en-US" w:eastAsia="zh-CN"/>
        </w:rPr>
        <w:t>收、付费过程中，因交易失败后渠道返回的码值异常，无法直接准确判断交易失败原因，只能界定为“非客户原因”。按照目前的系统流程，财务可在异常池里重新发起交易，但不能将数据返回给上游业务系统，无法让客户重新发起交易。该问题目前仅能通过生产事件运维后解决。</w:t>
      </w:r>
    </w:p>
    <w:p>
      <w:pPr>
        <w:numPr>
          <w:ilvl w:val="0"/>
          <w:numId w:val="0"/>
        </w:numPr>
        <w:ind w:firstLine="420" w:firstLineChars="200"/>
        <w:rPr>
          <w:rFonts w:hint="eastAsia" w:ascii="微软雅黑" w:hAnsi="微软雅黑" w:cs="微软雅黑"/>
          <w:b w:val="0"/>
          <w:bCs w:val="0"/>
          <w:color w:val="auto"/>
          <w:sz w:val="21"/>
          <w:szCs w:val="21"/>
          <w:lang w:val="en-US" w:eastAsia="zh-CN"/>
        </w:rPr>
      </w:pPr>
      <w:r>
        <w:rPr>
          <w:rFonts w:hint="eastAsia" w:ascii="微软雅黑" w:hAnsi="微软雅黑" w:cs="微软雅黑"/>
          <w:b/>
          <w:bCs/>
          <w:color w:val="auto"/>
          <w:sz w:val="21"/>
          <w:szCs w:val="21"/>
          <w:lang w:val="en-US" w:eastAsia="zh-CN"/>
        </w:rPr>
        <w:t>建议优化点：</w:t>
      </w:r>
      <w:r>
        <w:rPr>
          <w:rFonts w:hint="eastAsia" w:ascii="微软雅黑" w:hAnsi="微软雅黑" w:cs="微软雅黑"/>
          <w:b w:val="0"/>
          <w:bCs w:val="0"/>
          <w:color w:val="auto"/>
          <w:sz w:val="21"/>
          <w:szCs w:val="21"/>
          <w:lang w:val="en-US" w:eastAsia="zh-CN"/>
        </w:rPr>
        <w:t>在“收付费手工异常处理”模块新增一个“转业务系统重发”的功能，财务在异常池看到交易失败原因不明确的数据时，</w:t>
      </w:r>
      <w:r>
        <w:rPr>
          <w:rFonts w:hint="eastAsia" w:ascii="微软雅黑" w:hAnsi="微软雅黑" w:cs="微软雅黑"/>
          <w:b w:val="0"/>
          <w:bCs w:val="0"/>
          <w:color w:val="FF0000"/>
          <w:sz w:val="21"/>
          <w:szCs w:val="21"/>
          <w:lang w:val="en-US" w:eastAsia="zh-CN"/>
        </w:rPr>
        <w:t>在联系运维查明具体原因后</w:t>
      </w:r>
      <w:r>
        <w:rPr>
          <w:rFonts w:hint="eastAsia" w:ascii="微软雅黑" w:hAnsi="微软雅黑" w:cs="微软雅黑"/>
          <w:b w:val="0"/>
          <w:bCs w:val="0"/>
          <w:color w:val="auto"/>
          <w:sz w:val="21"/>
          <w:szCs w:val="21"/>
          <w:lang w:val="en-US" w:eastAsia="zh-CN"/>
        </w:rPr>
        <w:t>，选择是否推送至上游业务系统，如推送，则将该笔交易回盘，客户可重新发起交易。</w:t>
      </w:r>
    </w:p>
    <w:p>
      <w:pPr>
        <w:numPr>
          <w:ilvl w:val="0"/>
          <w:numId w:val="0"/>
        </w:numPr>
        <w:rPr>
          <w:rFonts w:hint="eastAsia" w:ascii="微软雅黑" w:hAnsi="微软雅黑" w:eastAsia="微软雅黑" w:cs="微软雅黑"/>
          <w:b w:val="0"/>
          <w:bCs w:val="0"/>
          <w:color w:val="auto"/>
          <w:sz w:val="21"/>
          <w:szCs w:val="21"/>
          <w:lang w:val="en-US" w:eastAsia="zh-CN"/>
        </w:rPr>
      </w:pPr>
      <w:r>
        <w:rPr>
          <w:rFonts w:hint="eastAsia" w:ascii="微软雅黑" w:hAnsi="微软雅黑" w:cs="微软雅黑"/>
          <w:b w:val="0"/>
          <w:bCs w:val="0"/>
          <w:color w:val="auto"/>
          <w:sz w:val="21"/>
          <w:szCs w:val="21"/>
          <w:lang w:val="en-US" w:eastAsia="zh-CN"/>
        </w:rPr>
        <w:t xml:space="preserve">  </w:t>
      </w:r>
      <w:r>
        <w:rPr>
          <w:rFonts w:hint="eastAsia" w:ascii="微软雅黑" w:hAnsi="微软雅黑" w:cs="微软雅黑"/>
          <w:b w:val="0"/>
          <w:bCs w:val="0"/>
          <w:color w:val="auto"/>
          <w:sz w:val="21"/>
          <w:szCs w:val="21"/>
          <w:highlight w:val="yellow"/>
          <w:lang w:val="en-US" w:eastAsia="zh-CN"/>
        </w:rPr>
        <w:t xml:space="preserve"> 此时，客户会相应收到一条短信：“”</w:t>
      </w:r>
    </w:p>
    <w:p>
      <w:pPr>
        <w:numPr>
          <w:ilvl w:val="0"/>
          <w:numId w:val="0"/>
        </w:numPr>
        <w:ind w:firstLine="420" w:firstLineChars="200"/>
        <w:rPr>
          <w:rFonts w:hint="eastAsia" w:ascii="微软雅黑" w:hAnsi="微软雅黑" w:cs="微软雅黑"/>
          <w:b w:val="0"/>
          <w:bCs w:val="0"/>
          <w:color w:val="auto"/>
          <w:sz w:val="21"/>
          <w:szCs w:val="21"/>
          <w:lang w:val="en-US" w:eastAsia="zh-CN"/>
        </w:rPr>
      </w:pPr>
      <w:r>
        <w:rPr>
          <w:rFonts w:hint="eastAsia" w:ascii="微软雅黑" w:hAnsi="微软雅黑" w:cs="微软雅黑"/>
          <w:b w:val="0"/>
          <w:bCs w:val="0"/>
          <w:color w:val="auto"/>
          <w:sz w:val="21"/>
          <w:szCs w:val="21"/>
          <w:lang w:val="en-US" w:eastAsia="zh-CN"/>
        </w:rPr>
        <w:t>收费、付费的处理逻辑一致。</w:t>
      </w:r>
    </w:p>
    <w:p>
      <w:pPr>
        <w:numPr>
          <w:ilvl w:val="0"/>
          <w:numId w:val="0"/>
        </w:numPr>
        <w:ind w:firstLine="420" w:firstLineChars="200"/>
        <w:rPr>
          <w:rFonts w:hint="default" w:ascii="微软雅黑" w:hAnsi="微软雅黑" w:cs="微软雅黑"/>
          <w:b w:val="0"/>
          <w:bCs w:val="0"/>
          <w:color w:val="auto"/>
          <w:sz w:val="21"/>
          <w:szCs w:val="21"/>
          <w:lang w:val="en-US" w:eastAsia="zh-CN"/>
        </w:rPr>
      </w:pPr>
      <w:r>
        <w:rPr>
          <w:rFonts w:hint="eastAsia" w:ascii="微软雅黑" w:hAnsi="微软雅黑" w:cs="微软雅黑"/>
          <w:b w:val="0"/>
          <w:bCs w:val="0"/>
          <w:color w:val="auto"/>
          <w:sz w:val="21"/>
          <w:szCs w:val="21"/>
          <w:lang w:val="en-US" w:eastAsia="zh-CN"/>
        </w:rPr>
        <w:t>但由于招行代付通道较特殊，支付与查询异步，所以对于招行的代付（超网、大小额），如查询了3次以上仍一直未发盘，则直接回盘为交易失败。然后根据实际原因选择重发或推送回上游业务系统。</w:t>
      </w:r>
      <w:bookmarkStart w:id="0" w:name="_GoBack"/>
      <w:bookmarkEnd w:id="0"/>
    </w:p>
    <w:p>
      <w:pPr>
        <w:numPr>
          <w:ilvl w:val="0"/>
          <w:numId w:val="4"/>
        </w:numPr>
        <w:ind w:firstLine="420" w:firstLineChars="200"/>
        <w:rPr>
          <w:rFonts w:hint="default" w:ascii="微软雅黑" w:hAnsi="微软雅黑" w:cs="微软雅黑"/>
          <w:b/>
          <w:bCs/>
          <w:color w:val="auto"/>
          <w:sz w:val="21"/>
          <w:szCs w:val="21"/>
          <w:lang w:val="en-US" w:eastAsia="zh-CN"/>
        </w:rPr>
      </w:pPr>
      <w:r>
        <w:rPr>
          <w:rFonts w:hint="eastAsia" w:ascii="微软雅黑" w:hAnsi="微软雅黑" w:cs="微软雅黑"/>
          <w:b/>
          <w:bCs/>
          <w:color w:val="auto"/>
          <w:sz w:val="21"/>
          <w:szCs w:val="21"/>
          <w:lang w:val="en-US" w:eastAsia="zh-CN"/>
        </w:rPr>
        <w:t>业务类型中“保全”业务类型细分。</w:t>
      </w:r>
    </w:p>
    <w:p>
      <w:pPr>
        <w:numPr>
          <w:ilvl w:val="0"/>
          <w:numId w:val="0"/>
        </w:numPr>
        <w:ind w:firstLine="420" w:firstLineChars="200"/>
        <w:rPr>
          <w:rFonts w:hint="eastAsia" w:ascii="微软雅黑" w:hAnsi="微软雅黑" w:cs="微软雅黑"/>
          <w:color w:val="auto"/>
          <w:sz w:val="21"/>
          <w:szCs w:val="21"/>
          <w:lang w:val="en-US" w:eastAsia="zh-CN"/>
        </w:rPr>
      </w:pPr>
      <w:r>
        <w:rPr>
          <w:rFonts w:hint="eastAsia" w:ascii="微软雅黑" w:hAnsi="微软雅黑" w:cs="微软雅黑"/>
          <w:b/>
          <w:bCs/>
          <w:color w:val="auto"/>
          <w:sz w:val="21"/>
          <w:szCs w:val="21"/>
          <w:lang w:val="en-US" w:eastAsia="zh-CN"/>
        </w:rPr>
        <w:t>现状：</w:t>
      </w:r>
      <w:r>
        <w:rPr>
          <w:rFonts w:hint="eastAsia" w:ascii="微软雅黑" w:hAnsi="微软雅黑" w:cs="微软雅黑"/>
          <w:color w:val="auto"/>
          <w:sz w:val="21"/>
          <w:szCs w:val="21"/>
          <w:lang w:val="en-US" w:eastAsia="zh-CN"/>
        </w:rPr>
        <w:t>目前收付费管理模块的业务类型中，保全没有进一步细分。财务每月做月度经营分析时无法将保全业务中收费和付费项目进一步划分，影响现金流分析准确性。</w:t>
      </w:r>
    </w:p>
    <w:p>
      <w:pPr>
        <w:numPr>
          <w:ilvl w:val="0"/>
          <w:numId w:val="0"/>
        </w:numPr>
        <w:ind w:firstLine="420" w:firstLineChars="200"/>
        <w:rPr>
          <w:rFonts w:hint="eastAsia" w:ascii="微软雅黑" w:hAnsi="微软雅黑" w:cs="微软雅黑"/>
          <w:b w:val="0"/>
          <w:bCs w:val="0"/>
          <w:color w:val="auto"/>
          <w:sz w:val="21"/>
          <w:szCs w:val="21"/>
          <w:lang w:val="en-US" w:eastAsia="zh-CN"/>
        </w:rPr>
      </w:pPr>
      <w:r>
        <w:rPr>
          <w:rFonts w:hint="eastAsia" w:ascii="微软雅黑" w:hAnsi="微软雅黑" w:cs="微软雅黑"/>
          <w:b/>
          <w:bCs/>
          <w:color w:val="auto"/>
          <w:sz w:val="21"/>
          <w:szCs w:val="21"/>
          <w:lang w:val="en-US" w:eastAsia="zh-CN"/>
        </w:rPr>
        <w:t>建议优化点：</w:t>
      </w:r>
      <w:r>
        <w:rPr>
          <w:rFonts w:hint="eastAsia" w:ascii="微软雅黑" w:hAnsi="微软雅黑" w:cs="微软雅黑"/>
          <w:b w:val="0"/>
          <w:bCs w:val="0"/>
          <w:color w:val="auto"/>
          <w:sz w:val="21"/>
          <w:szCs w:val="21"/>
          <w:lang w:val="en-US" w:eastAsia="zh-CN"/>
        </w:rPr>
        <w:t>按保全收费、付费维度进一步细分。</w:t>
      </w:r>
    </w:p>
    <w:p>
      <w:pPr>
        <w:numPr>
          <w:ilvl w:val="0"/>
          <w:numId w:val="0"/>
        </w:numPr>
        <w:ind w:firstLine="420" w:firstLineChars="200"/>
        <w:rPr>
          <w:rFonts w:hint="default" w:ascii="微软雅黑" w:hAnsi="微软雅黑" w:cs="微软雅黑"/>
          <w:b w:val="0"/>
          <w:bCs w:val="0"/>
          <w:color w:val="auto"/>
          <w:sz w:val="21"/>
          <w:szCs w:val="21"/>
          <w:lang w:val="en-US" w:eastAsia="zh-CN"/>
        </w:rPr>
      </w:pPr>
      <w:r>
        <w:rPr>
          <w:rFonts w:hint="eastAsia" w:ascii="微软雅黑" w:hAnsi="微软雅黑" w:cs="微软雅黑"/>
          <w:b w:val="0"/>
          <w:bCs w:val="0"/>
          <w:color w:val="auto"/>
          <w:sz w:val="21"/>
          <w:szCs w:val="21"/>
          <w:lang w:val="en-US" w:eastAsia="zh-CN"/>
        </w:rPr>
        <w:t>详细规则如下，涉及“紧急支付”、“收付费手工异常处理”、“收付费交易查询” 三个模块同步修改。</w:t>
      </w:r>
    </w:p>
    <w:p>
      <w:pPr>
        <w:numPr>
          <w:ilvl w:val="0"/>
          <w:numId w:val="0"/>
        </w:numPr>
        <w:ind w:left="418" w:leftChars="232" w:firstLine="0" w:firstLineChars="0"/>
        <w:rPr>
          <w:rFonts w:hint="default" w:ascii="微软雅黑" w:hAnsi="微软雅黑" w:cs="微软雅黑"/>
          <w:b w:val="0"/>
          <w:bCs w:val="0"/>
          <w:color w:val="auto"/>
          <w:sz w:val="21"/>
          <w:szCs w:val="21"/>
          <w:lang w:val="en-US" w:eastAsia="zh-CN"/>
        </w:rPr>
      </w:pPr>
      <w:r>
        <w:rPr>
          <w:rFonts w:ascii="微软雅黑" w:hAnsi="微软雅黑" w:eastAsia="微软雅黑" w:cs="微软雅黑"/>
          <w:i w:val="0"/>
          <w:caps w:val="0"/>
          <w:color w:val="171A1D"/>
          <w:spacing w:val="0"/>
          <w:sz w:val="21"/>
          <w:szCs w:val="21"/>
          <w:shd w:val="clear" w:fill="FFFFFF"/>
        </w:rPr>
        <w:t>收</w:t>
      </w:r>
      <w:r>
        <w:rPr>
          <w:rFonts w:hint="eastAsia" w:ascii="微软雅黑" w:hAnsi="微软雅黑" w:cs="微软雅黑"/>
          <w:i w:val="0"/>
          <w:caps w:val="0"/>
          <w:color w:val="171A1D"/>
          <w:spacing w:val="0"/>
          <w:sz w:val="21"/>
          <w:szCs w:val="21"/>
          <w:shd w:val="clear" w:fill="FFFFFF"/>
          <w:lang w:eastAsia="zh-CN"/>
        </w:rPr>
        <w:t>费</w:t>
      </w:r>
      <w:r>
        <w:rPr>
          <w:rFonts w:ascii="微软雅黑" w:hAnsi="微软雅黑" w:eastAsia="微软雅黑" w:cs="微软雅黑"/>
          <w:i w:val="0"/>
          <w:caps w:val="0"/>
          <w:color w:val="171A1D"/>
          <w:spacing w:val="0"/>
          <w:sz w:val="21"/>
          <w:szCs w:val="21"/>
          <w:shd w:val="clear" w:fill="FFFFFF"/>
        </w:rPr>
        <w:t>：贷款（</w:t>
      </w:r>
      <w:r>
        <w:rPr>
          <w:rFonts w:hint="eastAsia" w:ascii="微软雅黑" w:hAnsi="微软雅黑" w:cs="微软雅黑"/>
          <w:i w:val="0"/>
          <w:caps w:val="0"/>
          <w:color w:val="171A1D"/>
          <w:spacing w:val="0"/>
          <w:sz w:val="21"/>
          <w:szCs w:val="21"/>
          <w:shd w:val="clear" w:fill="FFFFFF"/>
          <w:lang w:eastAsia="zh-CN"/>
        </w:rPr>
        <w:t>贷款</w:t>
      </w:r>
      <w:r>
        <w:rPr>
          <w:rFonts w:ascii="微软雅黑" w:hAnsi="微软雅黑" w:eastAsia="微软雅黑" w:cs="微软雅黑"/>
          <w:i w:val="0"/>
          <w:caps w:val="0"/>
          <w:color w:val="171A1D"/>
          <w:spacing w:val="0"/>
          <w:sz w:val="21"/>
          <w:szCs w:val="21"/>
          <w:shd w:val="clear" w:fill="FFFFFF"/>
        </w:rPr>
        <w:t>清偿）、</w:t>
      </w:r>
      <w:r>
        <w:rPr>
          <w:rFonts w:hint="eastAsia" w:ascii="微软雅黑" w:hAnsi="微软雅黑" w:cs="微软雅黑"/>
          <w:i w:val="0"/>
          <w:caps w:val="0"/>
          <w:color w:val="171A1D"/>
          <w:spacing w:val="0"/>
          <w:sz w:val="21"/>
          <w:szCs w:val="21"/>
          <w:shd w:val="clear" w:fill="FFFFFF"/>
          <w:lang w:eastAsia="zh-CN"/>
        </w:rPr>
        <w:t>其他</w:t>
      </w:r>
      <w:r>
        <w:rPr>
          <w:rFonts w:ascii="微软雅黑" w:hAnsi="微软雅黑" w:eastAsia="微软雅黑" w:cs="微软雅黑"/>
          <w:i w:val="0"/>
          <w:caps w:val="0"/>
          <w:color w:val="171A1D"/>
          <w:spacing w:val="0"/>
          <w:sz w:val="21"/>
          <w:szCs w:val="21"/>
          <w:shd w:val="clear" w:fill="FFFFFF"/>
        </w:rPr>
        <w:t>保全收费（加保、</w:t>
      </w:r>
      <w:r>
        <w:rPr>
          <w:rFonts w:hint="eastAsia" w:ascii="微软雅黑" w:hAnsi="微软雅黑" w:cs="微软雅黑"/>
          <w:i w:val="0"/>
          <w:caps w:val="0"/>
          <w:color w:val="171A1D"/>
          <w:spacing w:val="0"/>
          <w:sz w:val="21"/>
          <w:szCs w:val="21"/>
          <w:shd w:val="clear" w:fill="FFFFFF"/>
          <w:lang w:eastAsia="zh-CN"/>
        </w:rPr>
        <w:t>追加保费、</w:t>
      </w:r>
      <w:r>
        <w:rPr>
          <w:rFonts w:ascii="微软雅黑" w:hAnsi="微软雅黑" w:eastAsia="微软雅黑" w:cs="微软雅黑"/>
          <w:i w:val="0"/>
          <w:caps w:val="0"/>
          <w:color w:val="171A1D"/>
          <w:spacing w:val="0"/>
          <w:sz w:val="21"/>
          <w:szCs w:val="21"/>
          <w:shd w:val="clear" w:fill="FFFFFF"/>
        </w:rPr>
        <w:t>定结加人、复效）</w:t>
      </w:r>
      <w:r>
        <w:rPr>
          <w:rFonts w:hint="eastAsia" w:ascii="微软雅黑" w:hAnsi="微软雅黑" w:eastAsia="微软雅黑" w:cs="微软雅黑"/>
          <w:i w:val="0"/>
          <w:caps w:val="0"/>
          <w:color w:val="171A1D"/>
          <w:spacing w:val="0"/>
          <w:sz w:val="21"/>
          <w:szCs w:val="21"/>
          <w:shd w:val="clear" w:fill="FFFFFF"/>
        </w:rPr>
        <w:br w:type="textWrapping"/>
      </w:r>
      <w:r>
        <w:rPr>
          <w:rFonts w:hint="eastAsia" w:ascii="微软雅黑" w:hAnsi="微软雅黑" w:eastAsia="微软雅黑" w:cs="微软雅黑"/>
          <w:i w:val="0"/>
          <w:caps w:val="0"/>
          <w:color w:val="171A1D"/>
          <w:spacing w:val="0"/>
          <w:sz w:val="21"/>
          <w:szCs w:val="21"/>
          <w:shd w:val="clear" w:fill="FFFFFF"/>
        </w:rPr>
        <w:t>付</w:t>
      </w:r>
      <w:r>
        <w:rPr>
          <w:rFonts w:hint="eastAsia" w:ascii="微软雅黑" w:hAnsi="微软雅黑" w:cs="微软雅黑"/>
          <w:i w:val="0"/>
          <w:caps w:val="0"/>
          <w:color w:val="171A1D"/>
          <w:spacing w:val="0"/>
          <w:sz w:val="21"/>
          <w:szCs w:val="21"/>
          <w:shd w:val="clear" w:fill="FFFFFF"/>
          <w:lang w:eastAsia="zh-CN"/>
        </w:rPr>
        <w:t>费</w:t>
      </w:r>
      <w:r>
        <w:rPr>
          <w:rFonts w:hint="eastAsia" w:ascii="微软雅黑" w:hAnsi="微软雅黑" w:eastAsia="微软雅黑" w:cs="微软雅黑"/>
          <w:i w:val="0"/>
          <w:caps w:val="0"/>
          <w:color w:val="171A1D"/>
          <w:spacing w:val="0"/>
          <w:sz w:val="21"/>
          <w:szCs w:val="21"/>
          <w:shd w:val="clear" w:fill="FFFFFF"/>
        </w:rPr>
        <w:t>：贷款（保单贷款）、</w:t>
      </w:r>
      <w:r>
        <w:rPr>
          <w:rFonts w:hint="eastAsia" w:ascii="微软雅黑" w:hAnsi="微软雅黑" w:cs="微软雅黑"/>
          <w:i w:val="0"/>
          <w:caps w:val="0"/>
          <w:color w:val="171A1D"/>
          <w:spacing w:val="0"/>
          <w:sz w:val="21"/>
          <w:szCs w:val="21"/>
          <w:shd w:val="clear" w:fill="FFFFFF"/>
          <w:lang w:eastAsia="zh-CN"/>
        </w:rPr>
        <w:t>其他</w:t>
      </w:r>
      <w:r>
        <w:rPr>
          <w:rFonts w:hint="eastAsia" w:ascii="微软雅黑" w:hAnsi="微软雅黑" w:eastAsia="微软雅黑" w:cs="微软雅黑"/>
          <w:i w:val="0"/>
          <w:caps w:val="0"/>
          <w:color w:val="171A1D"/>
          <w:spacing w:val="0"/>
          <w:sz w:val="21"/>
          <w:szCs w:val="21"/>
          <w:shd w:val="clear" w:fill="FFFFFF"/>
        </w:rPr>
        <w:t>保全</w:t>
      </w:r>
      <w:r>
        <w:rPr>
          <w:rFonts w:hint="eastAsia" w:ascii="微软雅黑" w:hAnsi="微软雅黑" w:cs="微软雅黑"/>
          <w:i w:val="0"/>
          <w:caps w:val="0"/>
          <w:color w:val="171A1D"/>
          <w:spacing w:val="0"/>
          <w:sz w:val="21"/>
          <w:szCs w:val="21"/>
          <w:shd w:val="clear" w:fill="FFFFFF"/>
          <w:lang w:eastAsia="zh-CN"/>
        </w:rPr>
        <w:t>付费</w:t>
      </w:r>
      <w:r>
        <w:rPr>
          <w:rFonts w:hint="eastAsia" w:ascii="微软雅黑" w:hAnsi="微软雅黑" w:eastAsia="微软雅黑" w:cs="微软雅黑"/>
          <w:i w:val="0"/>
          <w:caps w:val="0"/>
          <w:color w:val="171A1D"/>
          <w:spacing w:val="0"/>
          <w:sz w:val="21"/>
          <w:szCs w:val="21"/>
          <w:shd w:val="clear" w:fill="FFFFFF"/>
        </w:rPr>
        <w:t>（减保、退保、</w:t>
      </w:r>
      <w:r>
        <w:rPr>
          <w:rFonts w:hint="eastAsia" w:ascii="微软雅黑" w:hAnsi="微软雅黑" w:cs="微软雅黑"/>
          <w:i w:val="0"/>
          <w:caps w:val="0"/>
          <w:color w:val="171A1D"/>
          <w:spacing w:val="0"/>
          <w:sz w:val="21"/>
          <w:szCs w:val="21"/>
          <w:shd w:val="clear" w:fill="FFFFFF"/>
          <w:lang w:eastAsia="zh-CN"/>
        </w:rPr>
        <w:t>部分领取</w:t>
      </w:r>
      <w:r>
        <w:rPr>
          <w:rFonts w:hint="eastAsia" w:ascii="微软雅黑" w:hAnsi="微软雅黑" w:eastAsia="微软雅黑" w:cs="微软雅黑"/>
          <w:i w:val="0"/>
          <w:caps w:val="0"/>
          <w:color w:val="171A1D"/>
          <w:spacing w:val="0"/>
          <w:sz w:val="21"/>
          <w:szCs w:val="21"/>
          <w:shd w:val="clear" w:fill="FFFFFF"/>
        </w:rPr>
        <w:t>、定结减人等）</w:t>
      </w:r>
    </w:p>
    <w:p>
      <w:pPr>
        <w:numPr>
          <w:ilvl w:val="0"/>
          <w:numId w:val="4"/>
        </w:numPr>
        <w:ind w:firstLine="420" w:firstLineChars="200"/>
        <w:rPr>
          <w:rFonts w:hint="default" w:ascii="微软雅黑" w:hAnsi="微软雅黑" w:cs="微软雅黑"/>
          <w:b/>
          <w:bCs/>
          <w:color w:val="auto"/>
          <w:sz w:val="21"/>
          <w:szCs w:val="21"/>
          <w:lang w:val="en-US" w:eastAsia="zh-CN"/>
        </w:rPr>
      </w:pPr>
      <w:r>
        <w:rPr>
          <w:rFonts w:hint="eastAsia" w:ascii="微软雅黑" w:hAnsi="微软雅黑" w:cs="微软雅黑"/>
          <w:b/>
          <w:bCs/>
          <w:color w:val="auto"/>
          <w:sz w:val="21"/>
          <w:szCs w:val="21"/>
          <w:lang w:val="en-US" w:eastAsia="zh-CN"/>
        </w:rPr>
        <w:t>招行代付增加单笔限额。</w:t>
      </w:r>
    </w:p>
    <w:p>
      <w:pPr>
        <w:numPr>
          <w:ilvl w:val="0"/>
          <w:numId w:val="0"/>
        </w:numPr>
        <w:ind w:firstLine="420" w:firstLineChars="200"/>
        <w:rPr>
          <w:rFonts w:hint="eastAsia" w:ascii="微软雅黑" w:hAnsi="微软雅黑" w:cs="微软雅黑"/>
          <w:color w:val="auto"/>
          <w:sz w:val="21"/>
          <w:szCs w:val="21"/>
          <w:lang w:val="en-US" w:eastAsia="zh-CN"/>
        </w:rPr>
      </w:pPr>
      <w:r>
        <w:rPr>
          <w:rFonts w:hint="eastAsia" w:ascii="微软雅黑" w:hAnsi="微软雅黑" w:cs="微软雅黑"/>
          <w:b/>
          <w:bCs/>
          <w:color w:val="auto"/>
          <w:sz w:val="21"/>
          <w:szCs w:val="21"/>
          <w:lang w:val="en-US" w:eastAsia="zh-CN"/>
        </w:rPr>
        <w:t>现状：</w:t>
      </w:r>
      <w:r>
        <w:rPr>
          <w:rFonts w:hint="eastAsia" w:ascii="微软雅黑" w:hAnsi="微软雅黑" w:cs="微软雅黑"/>
          <w:color w:val="auto"/>
          <w:sz w:val="21"/>
          <w:szCs w:val="21"/>
          <w:lang w:val="en-US" w:eastAsia="zh-CN"/>
        </w:rPr>
        <w:t>招行“超网代付”和“大小额系统单笔代付”按照此前与招行的沟通，同行代付无单笔限额。基于风险考虑，根据招行最新要求，要求单笔限额控制在1000万元以内。但无法通过分流规则限制。</w:t>
      </w:r>
    </w:p>
    <w:p>
      <w:pPr>
        <w:numPr>
          <w:ilvl w:val="0"/>
          <w:numId w:val="0"/>
        </w:numPr>
        <w:ind w:firstLine="420" w:firstLineChars="200"/>
        <w:rPr>
          <w:rFonts w:hint="default" w:ascii="微软雅黑" w:hAnsi="微软雅黑" w:cs="微软雅黑"/>
          <w:b/>
          <w:bCs/>
          <w:color w:val="auto"/>
          <w:sz w:val="21"/>
          <w:szCs w:val="21"/>
          <w:lang w:val="en-US" w:eastAsia="zh-CN"/>
        </w:rPr>
      </w:pPr>
      <w:r>
        <w:rPr>
          <w:rFonts w:hint="eastAsia" w:ascii="微软雅黑" w:hAnsi="微软雅黑" w:cs="微软雅黑"/>
          <w:b/>
          <w:bCs/>
          <w:color w:val="auto"/>
          <w:sz w:val="21"/>
          <w:szCs w:val="21"/>
          <w:lang w:val="en-US" w:eastAsia="zh-CN"/>
        </w:rPr>
        <w:t>建议优化点：</w:t>
      </w:r>
      <w:r>
        <w:rPr>
          <w:rFonts w:hint="eastAsia" w:ascii="微软雅黑" w:hAnsi="微软雅黑" w:cs="微软雅黑"/>
          <w:b w:val="0"/>
          <w:bCs w:val="0"/>
          <w:color w:val="auto"/>
          <w:sz w:val="21"/>
          <w:szCs w:val="21"/>
          <w:lang w:val="en-US" w:eastAsia="zh-CN"/>
        </w:rPr>
        <w:t>按系统规则，批量发盘时，如使用招行代付渠道，则单笔限额为1000万元。如批处理时金额超过1000万元则直接转到异常池，财务通过“转人工付费”功能推送到保融资金系统相关流程，不通过FMT付款。</w:t>
      </w:r>
    </w:p>
    <w:p>
      <w:pPr>
        <w:rPr>
          <w:rFonts w:hint="default" w:ascii="微软雅黑" w:hAnsi="微软雅黑" w:cs="微软雅黑"/>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22368"/>
    <w:multiLevelType w:val="multilevel"/>
    <w:tmpl w:val="16D22368"/>
    <w:lvl w:ilvl="0" w:tentative="0">
      <w:start w:val="1"/>
      <w:numFmt w:val="decimal"/>
      <w:pStyle w:val="2"/>
      <w:lvlText w:val="%1"/>
      <w:lvlJc w:val="left"/>
      <w:pPr>
        <w:ind w:left="620" w:hanging="420"/>
      </w:pPr>
      <w:rPr>
        <w:rFonts w:hint="eastAsia"/>
      </w:rPr>
    </w:lvl>
    <w:lvl w:ilvl="1" w:tentative="0">
      <w:start w:val="1"/>
      <w:numFmt w:val="lowerLetter"/>
      <w:lvlText w:val="%2)"/>
      <w:lvlJc w:val="left"/>
      <w:pPr>
        <w:ind w:left="1040" w:hanging="420"/>
      </w:pPr>
    </w:lvl>
    <w:lvl w:ilvl="2" w:tentative="0">
      <w:start w:val="1"/>
      <w:numFmt w:val="lowerRoman"/>
      <w:lvlText w:val="%3."/>
      <w:lvlJc w:val="right"/>
      <w:pPr>
        <w:ind w:left="1460" w:hanging="420"/>
      </w:pPr>
    </w:lvl>
    <w:lvl w:ilvl="3" w:tentative="0">
      <w:start w:val="1"/>
      <w:numFmt w:val="decimal"/>
      <w:lvlText w:val="%4."/>
      <w:lvlJc w:val="left"/>
      <w:pPr>
        <w:ind w:left="1880" w:hanging="420"/>
      </w:pPr>
    </w:lvl>
    <w:lvl w:ilvl="4" w:tentative="0">
      <w:start w:val="1"/>
      <w:numFmt w:val="lowerLetter"/>
      <w:lvlText w:val="%5)"/>
      <w:lvlJc w:val="left"/>
      <w:pPr>
        <w:ind w:left="2300" w:hanging="420"/>
      </w:pPr>
    </w:lvl>
    <w:lvl w:ilvl="5" w:tentative="0">
      <w:start w:val="1"/>
      <w:numFmt w:val="lowerRoman"/>
      <w:lvlText w:val="%6."/>
      <w:lvlJc w:val="right"/>
      <w:pPr>
        <w:ind w:left="2720" w:hanging="420"/>
      </w:pPr>
    </w:lvl>
    <w:lvl w:ilvl="6" w:tentative="0">
      <w:start w:val="1"/>
      <w:numFmt w:val="decimal"/>
      <w:lvlText w:val="%7."/>
      <w:lvlJc w:val="left"/>
      <w:pPr>
        <w:ind w:left="3140" w:hanging="420"/>
      </w:pPr>
    </w:lvl>
    <w:lvl w:ilvl="7" w:tentative="0">
      <w:start w:val="1"/>
      <w:numFmt w:val="lowerLetter"/>
      <w:lvlText w:val="%8)"/>
      <w:lvlJc w:val="left"/>
      <w:pPr>
        <w:ind w:left="3560" w:hanging="420"/>
      </w:pPr>
    </w:lvl>
    <w:lvl w:ilvl="8" w:tentative="0">
      <w:start w:val="1"/>
      <w:numFmt w:val="lowerRoman"/>
      <w:lvlText w:val="%9."/>
      <w:lvlJc w:val="right"/>
      <w:pPr>
        <w:ind w:left="3980" w:hanging="420"/>
      </w:pPr>
    </w:lvl>
  </w:abstractNum>
  <w:abstractNum w:abstractNumId="1">
    <w:nsid w:val="320D5AA1"/>
    <w:multiLevelType w:val="multilevel"/>
    <w:tmpl w:val="320D5AA1"/>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427DF740"/>
    <w:multiLevelType w:val="singleLevel"/>
    <w:tmpl w:val="427DF740"/>
    <w:lvl w:ilvl="0" w:tentative="0">
      <w:start w:val="1"/>
      <w:numFmt w:val="decimal"/>
      <w:lvlText w:val="%1."/>
      <w:lvlJc w:val="left"/>
      <w:pPr>
        <w:tabs>
          <w:tab w:val="left" w:pos="312"/>
        </w:tabs>
      </w:pPr>
    </w:lvl>
  </w:abstractNum>
  <w:abstractNum w:abstractNumId="3">
    <w:nsid w:val="5F62072C"/>
    <w:multiLevelType w:val="multilevel"/>
    <w:tmpl w:val="5F62072C"/>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F2B"/>
    <w:rsid w:val="00013581"/>
    <w:rsid w:val="00036F7D"/>
    <w:rsid w:val="00044614"/>
    <w:rsid w:val="0005658D"/>
    <w:rsid w:val="000C2F42"/>
    <w:rsid w:val="00135442"/>
    <w:rsid w:val="00177F24"/>
    <w:rsid w:val="001A742E"/>
    <w:rsid w:val="001B3124"/>
    <w:rsid w:val="001D7E86"/>
    <w:rsid w:val="001E0FE3"/>
    <w:rsid w:val="00237436"/>
    <w:rsid w:val="00247196"/>
    <w:rsid w:val="002D4134"/>
    <w:rsid w:val="00333F5E"/>
    <w:rsid w:val="0034452D"/>
    <w:rsid w:val="004A0397"/>
    <w:rsid w:val="005D7358"/>
    <w:rsid w:val="005E31B0"/>
    <w:rsid w:val="006228AD"/>
    <w:rsid w:val="00627191"/>
    <w:rsid w:val="00692C35"/>
    <w:rsid w:val="00696BC3"/>
    <w:rsid w:val="007174FA"/>
    <w:rsid w:val="007A1161"/>
    <w:rsid w:val="00836B5A"/>
    <w:rsid w:val="00910A1F"/>
    <w:rsid w:val="00924F2B"/>
    <w:rsid w:val="00980D90"/>
    <w:rsid w:val="00982BE8"/>
    <w:rsid w:val="009939B6"/>
    <w:rsid w:val="009F22FE"/>
    <w:rsid w:val="00A15285"/>
    <w:rsid w:val="00A325CB"/>
    <w:rsid w:val="00A423F7"/>
    <w:rsid w:val="00A56262"/>
    <w:rsid w:val="00A730E7"/>
    <w:rsid w:val="00B0581E"/>
    <w:rsid w:val="00B810D3"/>
    <w:rsid w:val="00BE0E62"/>
    <w:rsid w:val="00BF0504"/>
    <w:rsid w:val="00BF56A7"/>
    <w:rsid w:val="00C1180D"/>
    <w:rsid w:val="00C91D9D"/>
    <w:rsid w:val="00CB20C2"/>
    <w:rsid w:val="00CB7512"/>
    <w:rsid w:val="00CC0847"/>
    <w:rsid w:val="00CC3198"/>
    <w:rsid w:val="00CE5DEE"/>
    <w:rsid w:val="00D06352"/>
    <w:rsid w:val="00D279F0"/>
    <w:rsid w:val="00D54806"/>
    <w:rsid w:val="00D60546"/>
    <w:rsid w:val="00D96963"/>
    <w:rsid w:val="00DC240D"/>
    <w:rsid w:val="00E01666"/>
    <w:rsid w:val="00E83FCD"/>
    <w:rsid w:val="00EF3FFA"/>
    <w:rsid w:val="00F00FFB"/>
    <w:rsid w:val="00F1301B"/>
    <w:rsid w:val="00F173A7"/>
    <w:rsid w:val="00F725F0"/>
    <w:rsid w:val="00FA4956"/>
    <w:rsid w:val="00FD0370"/>
    <w:rsid w:val="00FD28BC"/>
    <w:rsid w:val="07541B14"/>
    <w:rsid w:val="0955275F"/>
    <w:rsid w:val="123A0038"/>
    <w:rsid w:val="128F4840"/>
    <w:rsid w:val="14B346F2"/>
    <w:rsid w:val="161673C6"/>
    <w:rsid w:val="17C14303"/>
    <w:rsid w:val="196F1D7D"/>
    <w:rsid w:val="1C9237CF"/>
    <w:rsid w:val="1FC5361D"/>
    <w:rsid w:val="20B33208"/>
    <w:rsid w:val="20BD54EB"/>
    <w:rsid w:val="24B52BF0"/>
    <w:rsid w:val="24DA463F"/>
    <w:rsid w:val="27925DA8"/>
    <w:rsid w:val="28FF22B5"/>
    <w:rsid w:val="2A916AEA"/>
    <w:rsid w:val="2B9E5CB7"/>
    <w:rsid w:val="2CDC65A8"/>
    <w:rsid w:val="300A3EAC"/>
    <w:rsid w:val="30CF4CB8"/>
    <w:rsid w:val="32CD0642"/>
    <w:rsid w:val="351465F5"/>
    <w:rsid w:val="358F68D0"/>
    <w:rsid w:val="3D5136F8"/>
    <w:rsid w:val="3DC02D2D"/>
    <w:rsid w:val="3E59701F"/>
    <w:rsid w:val="3F902A40"/>
    <w:rsid w:val="41F42904"/>
    <w:rsid w:val="430C25F8"/>
    <w:rsid w:val="43D72DE3"/>
    <w:rsid w:val="461A4713"/>
    <w:rsid w:val="478A7FCC"/>
    <w:rsid w:val="4C850BC2"/>
    <w:rsid w:val="502630BD"/>
    <w:rsid w:val="554927B7"/>
    <w:rsid w:val="58341DDD"/>
    <w:rsid w:val="58CB0C4B"/>
    <w:rsid w:val="59B24B74"/>
    <w:rsid w:val="5F4B7635"/>
    <w:rsid w:val="6039414F"/>
    <w:rsid w:val="61F20BD5"/>
    <w:rsid w:val="6200702C"/>
    <w:rsid w:val="6584233F"/>
    <w:rsid w:val="65EF74E7"/>
    <w:rsid w:val="663A5B2D"/>
    <w:rsid w:val="66EE75BD"/>
    <w:rsid w:val="67C608DC"/>
    <w:rsid w:val="68104999"/>
    <w:rsid w:val="69B05439"/>
    <w:rsid w:val="6CC110A1"/>
    <w:rsid w:val="6CCE29A2"/>
    <w:rsid w:val="6D9C0565"/>
    <w:rsid w:val="76660EC4"/>
    <w:rsid w:val="78F848EB"/>
    <w:rsid w:val="79094C8D"/>
    <w:rsid w:val="7A6568BB"/>
    <w:rsid w:val="7BA43945"/>
    <w:rsid w:val="7C3C7FCE"/>
    <w:rsid w:val="7E1C0B2F"/>
    <w:rsid w:val="7E6437E0"/>
    <w:rsid w:val="7F8D5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微软雅黑" w:asciiTheme="minorHAnsi" w:hAnsiTheme="minorHAnsi" w:cstheme="minorBidi"/>
      <w:kern w:val="2"/>
      <w:sz w:val="18"/>
      <w:szCs w:val="22"/>
      <w:lang w:val="en-US" w:eastAsia="zh-CN" w:bidi="ar-SA"/>
    </w:rPr>
  </w:style>
  <w:style w:type="paragraph" w:styleId="2">
    <w:name w:val="heading 1"/>
    <w:basedOn w:val="1"/>
    <w:next w:val="1"/>
    <w:link w:val="15"/>
    <w:qFormat/>
    <w:uiPriority w:val="9"/>
    <w:pPr>
      <w:keepNext/>
      <w:keepLines/>
      <w:numPr>
        <w:ilvl w:val="0"/>
        <w:numId w:val="1"/>
      </w:numPr>
      <w:spacing w:before="340" w:after="330" w:line="578" w:lineRule="auto"/>
      <w:ind w:firstLine="0" w:firstLineChars="0"/>
      <w:outlineLvl w:val="0"/>
    </w:pPr>
    <w:rPr>
      <w:b/>
      <w:bCs/>
      <w:kern w:val="44"/>
      <w:sz w:val="21"/>
      <w:szCs w:val="44"/>
    </w:rPr>
  </w:style>
  <w:style w:type="paragraph" w:styleId="3">
    <w:name w:val="heading 2"/>
    <w:basedOn w:val="1"/>
    <w:next w:val="1"/>
    <w:link w:val="16"/>
    <w:unhideWhenUsed/>
    <w:qFormat/>
    <w:uiPriority w:val="9"/>
    <w:pPr>
      <w:keepNext/>
      <w:keepLines/>
      <w:numPr>
        <w:ilvl w:val="0"/>
        <w:numId w:val="2"/>
      </w:numPr>
      <w:spacing w:before="260" w:after="260" w:line="416" w:lineRule="auto"/>
      <w:ind w:firstLine="0" w:firstLineChars="0"/>
      <w:outlineLvl w:val="1"/>
    </w:pPr>
    <w:rPr>
      <w:rFonts w:asciiTheme="majorHAnsi" w:hAnsiTheme="majorHAnsi" w:cstheme="majorBidi"/>
      <w:b/>
      <w:bCs/>
      <w:sz w:val="21"/>
      <w:szCs w:val="32"/>
    </w:rPr>
  </w:style>
  <w:style w:type="paragraph" w:styleId="4">
    <w:name w:val="heading 3"/>
    <w:basedOn w:val="1"/>
    <w:next w:val="1"/>
    <w:link w:val="17"/>
    <w:unhideWhenUsed/>
    <w:qFormat/>
    <w:uiPriority w:val="9"/>
    <w:pPr>
      <w:keepNext/>
      <w:keepLines/>
      <w:spacing w:before="260" w:after="260" w:line="415" w:lineRule="auto"/>
      <w:outlineLvl w:val="2"/>
    </w:pPr>
    <w:rPr>
      <w:rFonts w:eastAsia="黑体"/>
      <w:b/>
      <w:bCs/>
      <w:sz w:val="21"/>
      <w:szCs w:val="32"/>
    </w:rPr>
  </w:style>
  <w:style w:type="paragraph" w:styleId="5">
    <w:name w:val="heading 4"/>
    <w:basedOn w:val="1"/>
    <w:next w:val="1"/>
    <w:link w:val="2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3"/>
    <w:semiHidden/>
    <w:unhideWhenUsed/>
    <w:qFormat/>
    <w:uiPriority w:val="99"/>
    <w:pPr>
      <w:jc w:val="left"/>
    </w:pPr>
  </w:style>
  <w:style w:type="paragraph" w:styleId="7">
    <w:name w:val="Balloon Text"/>
    <w:basedOn w:val="1"/>
    <w:link w:val="22"/>
    <w:semiHidden/>
    <w:unhideWhenUsed/>
    <w:qFormat/>
    <w:uiPriority w:val="99"/>
    <w:rPr>
      <w:szCs w:val="18"/>
    </w:rPr>
  </w:style>
  <w:style w:type="paragraph" w:styleId="8">
    <w:name w:val="footer"/>
    <w:basedOn w:val="1"/>
    <w:link w:val="18"/>
    <w:unhideWhenUsed/>
    <w:qFormat/>
    <w:uiPriority w:val="99"/>
    <w:pPr>
      <w:tabs>
        <w:tab w:val="center" w:pos="4153"/>
        <w:tab w:val="right" w:pos="8306"/>
      </w:tabs>
      <w:snapToGrid w:val="0"/>
      <w:jc w:val="left"/>
    </w:pPr>
    <w:rPr>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Cs w:val="18"/>
    </w:rPr>
  </w:style>
  <w:style w:type="paragraph" w:styleId="10">
    <w:name w:val="annotation subject"/>
    <w:basedOn w:val="6"/>
    <w:next w:val="6"/>
    <w:link w:val="25"/>
    <w:semiHidden/>
    <w:unhideWhenUsed/>
    <w:qFormat/>
    <w:uiPriority w:val="99"/>
    <w:rPr>
      <w:b/>
      <w:bCs/>
    </w:rPr>
  </w:style>
  <w:style w:type="table" w:styleId="12">
    <w:name w:val="Table Grid"/>
    <w:basedOn w:val="11"/>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annotation reference"/>
    <w:basedOn w:val="13"/>
    <w:semiHidden/>
    <w:unhideWhenUsed/>
    <w:qFormat/>
    <w:uiPriority w:val="99"/>
    <w:rPr>
      <w:sz w:val="21"/>
      <w:szCs w:val="21"/>
    </w:rPr>
  </w:style>
  <w:style w:type="character" w:customStyle="1" w:styleId="15">
    <w:name w:val="标题 1 字符"/>
    <w:basedOn w:val="13"/>
    <w:link w:val="2"/>
    <w:qFormat/>
    <w:uiPriority w:val="9"/>
    <w:rPr>
      <w:rFonts w:eastAsia="微软雅黑"/>
      <w:b/>
      <w:bCs/>
      <w:kern w:val="44"/>
      <w:szCs w:val="44"/>
    </w:rPr>
  </w:style>
  <w:style w:type="character" w:customStyle="1" w:styleId="16">
    <w:name w:val="标题 2 字符"/>
    <w:basedOn w:val="13"/>
    <w:link w:val="3"/>
    <w:qFormat/>
    <w:uiPriority w:val="9"/>
    <w:rPr>
      <w:rFonts w:eastAsia="微软雅黑" w:asciiTheme="majorHAnsi" w:hAnsiTheme="majorHAnsi" w:cstheme="majorBidi"/>
      <w:b/>
      <w:bCs/>
      <w:szCs w:val="32"/>
    </w:rPr>
  </w:style>
  <w:style w:type="character" w:customStyle="1" w:styleId="17">
    <w:name w:val="标题 3 字符"/>
    <w:basedOn w:val="13"/>
    <w:link w:val="4"/>
    <w:qFormat/>
    <w:uiPriority w:val="9"/>
    <w:rPr>
      <w:rFonts w:eastAsia="黑体"/>
      <w:b/>
      <w:bCs/>
      <w:szCs w:val="32"/>
    </w:rPr>
  </w:style>
  <w:style w:type="character" w:customStyle="1" w:styleId="18">
    <w:name w:val="页脚 字符"/>
    <w:basedOn w:val="13"/>
    <w:link w:val="8"/>
    <w:qFormat/>
    <w:uiPriority w:val="99"/>
    <w:rPr>
      <w:rFonts w:eastAsia="微软雅黑"/>
      <w:sz w:val="18"/>
      <w:szCs w:val="18"/>
    </w:rPr>
  </w:style>
  <w:style w:type="character" w:customStyle="1" w:styleId="19">
    <w:name w:val="页眉 字符"/>
    <w:basedOn w:val="13"/>
    <w:link w:val="9"/>
    <w:qFormat/>
    <w:uiPriority w:val="99"/>
    <w:rPr>
      <w:rFonts w:eastAsia="微软雅黑"/>
      <w:sz w:val="18"/>
      <w:szCs w:val="18"/>
    </w:rPr>
  </w:style>
  <w:style w:type="paragraph" w:styleId="20">
    <w:name w:val="List Paragraph"/>
    <w:basedOn w:val="1"/>
    <w:link w:val="21"/>
    <w:qFormat/>
    <w:uiPriority w:val="34"/>
    <w:pPr>
      <w:ind w:firstLine="420"/>
    </w:pPr>
  </w:style>
  <w:style w:type="character" w:customStyle="1" w:styleId="21">
    <w:name w:val="列表段落 字符"/>
    <w:basedOn w:val="13"/>
    <w:link w:val="20"/>
    <w:qFormat/>
    <w:locked/>
    <w:uiPriority w:val="34"/>
    <w:rPr>
      <w:rFonts w:eastAsia="微软雅黑"/>
      <w:sz w:val="18"/>
    </w:rPr>
  </w:style>
  <w:style w:type="character" w:customStyle="1" w:styleId="22">
    <w:name w:val="批注框文本 字符"/>
    <w:basedOn w:val="13"/>
    <w:link w:val="7"/>
    <w:semiHidden/>
    <w:qFormat/>
    <w:uiPriority w:val="99"/>
    <w:rPr>
      <w:rFonts w:eastAsia="微软雅黑"/>
      <w:sz w:val="18"/>
      <w:szCs w:val="18"/>
    </w:rPr>
  </w:style>
  <w:style w:type="character" w:customStyle="1" w:styleId="23">
    <w:name w:val="批注文字 字符"/>
    <w:basedOn w:val="13"/>
    <w:link w:val="6"/>
    <w:semiHidden/>
    <w:qFormat/>
    <w:uiPriority w:val="99"/>
    <w:rPr>
      <w:rFonts w:eastAsia="微软雅黑"/>
      <w:sz w:val="18"/>
    </w:rPr>
  </w:style>
  <w:style w:type="character" w:customStyle="1" w:styleId="24">
    <w:name w:val="标题 4 字符"/>
    <w:basedOn w:val="13"/>
    <w:link w:val="5"/>
    <w:qFormat/>
    <w:uiPriority w:val="9"/>
    <w:rPr>
      <w:rFonts w:asciiTheme="majorHAnsi" w:hAnsiTheme="majorHAnsi" w:eastAsiaTheme="majorEastAsia" w:cstheme="majorBidi"/>
      <w:b/>
      <w:bCs/>
      <w:sz w:val="28"/>
      <w:szCs w:val="28"/>
    </w:rPr>
  </w:style>
  <w:style w:type="character" w:customStyle="1" w:styleId="25">
    <w:name w:val="批注主题 字符"/>
    <w:basedOn w:val="23"/>
    <w:link w:val="10"/>
    <w:semiHidden/>
    <w:qFormat/>
    <w:uiPriority w:val="99"/>
    <w:rPr>
      <w:rFonts w:eastAsia="微软雅黑"/>
      <w:b/>
      <w:bCs/>
      <w:sz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8C0188-4E2D-48C1-90D4-34A5A82596EC}">
  <ds:schemaRefs/>
</ds:datastoreItem>
</file>

<file path=docProps/app.xml><?xml version="1.0" encoding="utf-8"?>
<Properties xmlns="http://schemas.openxmlformats.org/officeDocument/2006/extended-properties" xmlns:vt="http://schemas.openxmlformats.org/officeDocument/2006/docPropsVTypes">
  <Template>Normal</Template>
  <Pages>13</Pages>
  <Words>957</Words>
  <Characters>5461</Characters>
  <Lines>45</Lines>
  <Paragraphs>12</Paragraphs>
  <TotalTime>0</TotalTime>
  <ScaleCrop>false</ScaleCrop>
  <LinksUpToDate>false</LinksUpToDate>
  <CharactersWithSpaces>6406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2020-09-28T08:21:00Z</dcterms:created>
  <dc:creator>信美人寿相互保险社</dc:creator>
  <cp:lastModifiedBy>李京津</cp:lastModifiedBy>
  <dcterms:modified xsi:type="dcterms:W3CDTF">2021-04-28T01:45:58Z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