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jc w:val="center"/>
        <w:rPr>
          <w:rFonts w:ascii="微软雅黑" w:hAnsi="微软雅黑"/>
          <w:b/>
          <w:sz w:val="28"/>
        </w:rPr>
      </w:pPr>
      <w:r>
        <w:rPr>
          <w:rFonts w:hint="eastAsia" w:ascii="微软雅黑" w:hAnsi="微软雅黑"/>
          <w:b/>
          <w:sz w:val="28"/>
        </w:rPr>
        <w:t>贷款利息&amp;公司部分印花税计提</w:t>
      </w:r>
    </w:p>
    <w:p>
      <w:pPr>
        <w:ind w:firstLine="560"/>
        <w:jc w:val="center"/>
        <w:rPr>
          <w:rFonts w:ascii="微软雅黑" w:hAnsi="微软雅黑"/>
          <w:b/>
          <w:sz w:val="28"/>
        </w:rPr>
      </w:pPr>
      <w:r>
        <w:rPr>
          <w:rFonts w:hint="eastAsia" w:ascii="微软雅黑" w:hAnsi="微软雅黑"/>
          <w:b/>
          <w:sz w:val="28"/>
        </w:rPr>
        <w:t>产品需求说明书</w:t>
      </w:r>
    </w:p>
    <w:p>
      <w:pPr>
        <w:pStyle w:val="2"/>
        <w:ind w:firstLine="420"/>
      </w:pPr>
      <w:r>
        <w:rPr>
          <w:rFonts w:hint="eastAsia"/>
        </w:rPr>
        <w:t>【版本日志</w:t>
      </w:r>
      <w:r>
        <w:t>】</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241"/>
        <w:gridCol w:w="1701"/>
        <w:gridCol w:w="4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pct"/>
            <w:shd w:val="clear" w:color="auto" w:fill="92D050"/>
          </w:tcPr>
          <w:p>
            <w:pPr>
              <w:adjustRightInd w:val="0"/>
              <w:snapToGrid w:val="0"/>
              <w:ind w:firstLine="0" w:firstLineChars="0"/>
              <w:rPr>
                <w:rFonts w:ascii="微软雅黑" w:hAnsi="微软雅黑"/>
                <w:szCs w:val="21"/>
              </w:rPr>
            </w:pPr>
            <w:r>
              <w:rPr>
                <w:rFonts w:hint="eastAsia" w:ascii="微软雅黑" w:hAnsi="微软雅黑"/>
                <w:szCs w:val="21"/>
              </w:rPr>
              <w:t>版本号</w:t>
            </w:r>
          </w:p>
        </w:tc>
        <w:tc>
          <w:tcPr>
            <w:tcW w:w="728" w:type="pct"/>
            <w:shd w:val="clear" w:color="auto" w:fill="92D050"/>
          </w:tcPr>
          <w:p>
            <w:pPr>
              <w:adjustRightInd w:val="0"/>
              <w:snapToGrid w:val="0"/>
              <w:ind w:firstLine="0" w:firstLineChars="0"/>
              <w:rPr>
                <w:rFonts w:ascii="微软雅黑" w:hAnsi="微软雅黑"/>
                <w:szCs w:val="21"/>
              </w:rPr>
            </w:pPr>
            <w:r>
              <w:rPr>
                <w:rFonts w:hint="eastAsia" w:ascii="微软雅黑" w:hAnsi="微软雅黑"/>
                <w:szCs w:val="21"/>
              </w:rPr>
              <w:t>更新人</w:t>
            </w:r>
          </w:p>
        </w:tc>
        <w:tc>
          <w:tcPr>
            <w:tcW w:w="998" w:type="pct"/>
            <w:shd w:val="clear" w:color="auto" w:fill="92D050"/>
          </w:tcPr>
          <w:p>
            <w:pPr>
              <w:adjustRightInd w:val="0"/>
              <w:snapToGrid w:val="0"/>
              <w:ind w:firstLine="0" w:firstLineChars="0"/>
              <w:rPr>
                <w:rFonts w:ascii="微软雅黑" w:hAnsi="微软雅黑"/>
                <w:szCs w:val="21"/>
              </w:rPr>
            </w:pPr>
            <w:r>
              <w:rPr>
                <w:rFonts w:hint="eastAsia" w:ascii="微软雅黑" w:hAnsi="微软雅黑"/>
                <w:szCs w:val="21"/>
              </w:rPr>
              <w:t>更新日期</w:t>
            </w:r>
          </w:p>
        </w:tc>
        <w:tc>
          <w:tcPr>
            <w:tcW w:w="2774" w:type="pct"/>
            <w:shd w:val="clear" w:color="auto" w:fill="92D050"/>
          </w:tcPr>
          <w:p>
            <w:pPr>
              <w:adjustRightInd w:val="0"/>
              <w:snapToGrid w:val="0"/>
              <w:ind w:firstLine="0" w:firstLineChars="0"/>
              <w:rPr>
                <w:rFonts w:ascii="微软雅黑" w:hAnsi="微软雅黑"/>
                <w:szCs w:val="21"/>
              </w:rPr>
            </w:pPr>
            <w:r>
              <w:rPr>
                <w:rFonts w:hint="eastAsia" w:ascii="微软雅黑" w:hAnsi="微软雅黑"/>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 w:type="pct"/>
            <w:vAlign w:val="center"/>
          </w:tcPr>
          <w:p>
            <w:pPr>
              <w:adjustRightInd w:val="0"/>
              <w:snapToGrid w:val="0"/>
              <w:ind w:firstLine="0" w:firstLineChars="0"/>
              <w:rPr>
                <w:rFonts w:ascii="微软雅黑" w:hAnsi="微软雅黑"/>
                <w:szCs w:val="21"/>
              </w:rPr>
            </w:pPr>
            <w:r>
              <w:rPr>
                <w:rFonts w:hint="eastAsia" w:ascii="微软雅黑" w:hAnsi="微软雅黑"/>
                <w:szCs w:val="21"/>
              </w:rPr>
              <w:t>V1.0</w:t>
            </w:r>
          </w:p>
        </w:tc>
        <w:tc>
          <w:tcPr>
            <w:tcW w:w="728" w:type="pct"/>
            <w:vAlign w:val="center"/>
          </w:tcPr>
          <w:p>
            <w:pPr>
              <w:adjustRightInd w:val="0"/>
              <w:snapToGrid w:val="0"/>
              <w:ind w:firstLine="0" w:firstLineChars="0"/>
              <w:rPr>
                <w:rFonts w:ascii="微软雅黑" w:hAnsi="微软雅黑"/>
              </w:rPr>
            </w:pPr>
            <w:r>
              <w:rPr>
                <w:rFonts w:hint="eastAsia" w:ascii="微软雅黑" w:hAnsi="微软雅黑"/>
              </w:rPr>
              <w:t>郝文峰</w:t>
            </w:r>
          </w:p>
        </w:tc>
        <w:tc>
          <w:tcPr>
            <w:tcW w:w="998" w:type="pct"/>
            <w:vAlign w:val="center"/>
          </w:tcPr>
          <w:p>
            <w:pPr>
              <w:adjustRightInd w:val="0"/>
              <w:snapToGrid w:val="0"/>
              <w:ind w:firstLine="0" w:firstLineChars="0"/>
              <w:rPr>
                <w:rFonts w:ascii="微软雅黑" w:hAnsi="微软雅黑"/>
              </w:rPr>
            </w:pPr>
            <w:r>
              <w:rPr>
                <w:rFonts w:hint="eastAsia" w:ascii="微软雅黑" w:hAnsi="微软雅黑"/>
              </w:rPr>
              <w:t>201</w:t>
            </w:r>
            <w:r>
              <w:rPr>
                <w:rFonts w:ascii="微软雅黑" w:hAnsi="微软雅黑"/>
              </w:rPr>
              <w:t>8</w:t>
            </w:r>
            <w:r>
              <w:rPr>
                <w:rFonts w:hint="eastAsia" w:ascii="微软雅黑" w:hAnsi="微软雅黑"/>
              </w:rPr>
              <w:t>-03-</w:t>
            </w:r>
            <w:r>
              <w:rPr>
                <w:rFonts w:ascii="微软雅黑" w:hAnsi="微软雅黑"/>
              </w:rPr>
              <w:t>22</w:t>
            </w:r>
          </w:p>
        </w:tc>
        <w:tc>
          <w:tcPr>
            <w:tcW w:w="2774" w:type="pct"/>
            <w:vAlign w:val="center"/>
          </w:tcPr>
          <w:p>
            <w:pPr>
              <w:pStyle w:val="17"/>
              <w:numPr>
                <w:ilvl w:val="0"/>
                <w:numId w:val="2"/>
              </w:numPr>
              <w:adjustRightInd w:val="0"/>
              <w:snapToGrid w:val="0"/>
              <w:ind w:firstLineChars="0"/>
              <w:rPr>
                <w:rFonts w:ascii="微软雅黑" w:hAnsi="微软雅黑"/>
              </w:rPr>
            </w:pPr>
            <w:r>
              <w:rPr>
                <w:rFonts w:hint="eastAsia" w:ascii="微软雅黑" w:hAnsi="微软雅黑"/>
              </w:rPr>
              <w:t>贷款利息&amp;公司部分印花税计提</w:t>
            </w:r>
          </w:p>
        </w:tc>
      </w:tr>
    </w:tbl>
    <w:p>
      <w:pPr>
        <w:pStyle w:val="2"/>
        <w:ind w:firstLine="420"/>
      </w:pPr>
      <w:r>
        <w:rPr>
          <w:rFonts w:hint="eastAsia"/>
        </w:rPr>
        <w:t>一【文档简介</w:t>
      </w:r>
      <w:r>
        <w:t>】</w:t>
      </w:r>
    </w:p>
    <w:p>
      <w:pPr>
        <w:pStyle w:val="3"/>
        <w:numPr>
          <w:ilvl w:val="0"/>
          <w:numId w:val="3"/>
        </w:numPr>
      </w:pPr>
      <w:r>
        <w:rPr>
          <w:rFonts w:hint="eastAsia"/>
        </w:rPr>
        <w:t>目的</w:t>
      </w:r>
    </w:p>
    <w:p>
      <w:pPr>
        <w:ind w:firstLine="360"/>
      </w:pPr>
      <w:r>
        <w:rPr>
          <w:rFonts w:hint="eastAsia"/>
        </w:rPr>
        <w:t>本文档主要目的是</w:t>
      </w:r>
      <w:r>
        <w:rPr>
          <w:rFonts w:hint="eastAsia" w:ascii="Helvetica" w:hAnsi="Helvetica"/>
          <w:color w:val="2F2F2F"/>
          <w:shd w:val="clear" w:color="auto" w:fill="FFFFFF"/>
        </w:rPr>
        <w:t>清晰完整的描述公司保单贷款及其增贷续贷所涉及的</w:t>
      </w:r>
      <w:r>
        <w:rPr>
          <w:rFonts w:hint="eastAsia" w:ascii="微软雅黑" w:hAnsi="微软雅黑"/>
        </w:rPr>
        <w:t>贷款利息&amp;印花税（公司部分）计提所涉及的抽数规则和记账规则</w:t>
      </w:r>
      <w:r>
        <w:rPr>
          <w:rFonts w:hint="eastAsia"/>
        </w:rPr>
        <w:t>。</w:t>
      </w:r>
    </w:p>
    <w:p>
      <w:pPr>
        <w:pStyle w:val="3"/>
        <w:numPr>
          <w:ilvl w:val="0"/>
          <w:numId w:val="3"/>
        </w:numPr>
      </w:pPr>
      <w:r>
        <w:rPr>
          <w:rFonts w:hint="eastAsia"/>
        </w:rPr>
        <w:t>范围</w:t>
      </w:r>
    </w:p>
    <w:p>
      <w:pPr>
        <w:ind w:firstLine="360"/>
        <w:rPr>
          <w:rFonts w:ascii="Helvetica" w:hAnsi="Helvetica"/>
          <w:color w:val="2F2F2F"/>
          <w:shd w:val="clear" w:color="auto" w:fill="FFFFFF"/>
        </w:rPr>
      </w:pPr>
      <w:r>
        <w:rPr>
          <w:rFonts w:ascii="Helvetica" w:hAnsi="Helvetica"/>
          <w:color w:val="2F2F2F"/>
          <w:shd w:val="clear" w:color="auto" w:fill="FFFFFF"/>
        </w:rPr>
        <w:t>此文档主要描述</w:t>
      </w:r>
      <w:r>
        <w:rPr>
          <w:rFonts w:hint="eastAsia" w:ascii="Helvetica" w:hAnsi="Helvetica"/>
          <w:color w:val="2F2F2F"/>
          <w:shd w:val="clear" w:color="auto" w:fill="FFFFFF"/>
        </w:rPr>
        <w:t>本功能的</w:t>
      </w:r>
      <w:r>
        <w:rPr>
          <w:rFonts w:hint="eastAsia" w:ascii="微软雅黑" w:hAnsi="微软雅黑"/>
        </w:rPr>
        <w:t>抽数规则和记账规则。</w:t>
      </w:r>
    </w:p>
    <w:p>
      <w:pPr>
        <w:ind w:firstLine="360"/>
      </w:pPr>
      <w:r>
        <w:rPr>
          <w:rFonts w:ascii="Helvetica" w:hAnsi="Helvetica"/>
          <w:color w:val="2F2F2F"/>
          <w:shd w:val="clear" w:color="auto" w:fill="FFFFFF"/>
        </w:rPr>
        <w:t>本文档主要读者为技术部的</w:t>
      </w:r>
      <w:r>
        <w:rPr>
          <w:rFonts w:hint="eastAsia" w:ascii="Helvetica" w:hAnsi="Helvetica"/>
          <w:color w:val="2F2F2F"/>
          <w:shd w:val="clear" w:color="auto" w:fill="FFFFFF"/>
        </w:rPr>
        <w:t>后</w:t>
      </w:r>
      <w:r>
        <w:rPr>
          <w:rFonts w:ascii="Helvetica" w:hAnsi="Helvetica"/>
          <w:color w:val="2F2F2F"/>
          <w:shd w:val="clear" w:color="auto" w:fill="FFFFFF"/>
        </w:rPr>
        <w:t>端工程师。</w:t>
      </w:r>
    </w:p>
    <w:p>
      <w:pPr>
        <w:pStyle w:val="2"/>
        <w:ind w:firstLine="420"/>
      </w:pPr>
      <w:r>
        <w:rPr>
          <w:rFonts w:hint="eastAsia"/>
        </w:rPr>
        <w:t>二【用户角色描述】</w:t>
      </w:r>
    </w:p>
    <w:p>
      <w:pPr>
        <w:ind w:firstLine="360"/>
      </w:pPr>
      <w:r>
        <w:rPr>
          <w:rFonts w:hint="eastAsia"/>
        </w:rPr>
        <w:t>无</w:t>
      </w:r>
    </w:p>
    <w:p>
      <w:pPr>
        <w:pStyle w:val="2"/>
        <w:ind w:firstLine="420"/>
      </w:pPr>
      <w:r>
        <w:rPr>
          <w:rFonts w:hint="eastAsia"/>
        </w:rPr>
        <w:t>三【产品概述】</w:t>
      </w:r>
    </w:p>
    <w:p>
      <w:pPr>
        <w:ind w:firstLine="360"/>
      </w:pPr>
      <w:r>
        <w:rPr>
          <w:rFonts w:hint="eastAsia" w:ascii="Helvetica" w:hAnsi="Helvetica"/>
          <w:color w:val="2F2F2F"/>
          <w:shd w:val="clear" w:color="auto" w:fill="FFFFFF"/>
        </w:rPr>
        <w:t>保单贷款清偿、保单贷款利息计提和印花税（公司部分）计提。</w:t>
      </w:r>
    </w:p>
    <w:p>
      <w:pPr>
        <w:pStyle w:val="3"/>
        <w:numPr>
          <w:ilvl w:val="0"/>
          <w:numId w:val="4"/>
        </w:numPr>
      </w:pPr>
      <w:r>
        <w:rPr>
          <w:rFonts w:hint="eastAsia"/>
        </w:rPr>
        <w:t>目标</w:t>
      </w:r>
    </w:p>
    <w:p>
      <w:pPr>
        <w:ind w:firstLine="360"/>
        <w:rPr>
          <w:rFonts w:ascii="Helvetica" w:hAnsi="Helvetica"/>
          <w:color w:val="2F2F2F"/>
          <w:shd w:val="clear" w:color="auto" w:fill="FFFFFF"/>
        </w:rPr>
      </w:pPr>
      <w:r>
        <w:rPr>
          <w:rFonts w:hint="eastAsia" w:ascii="Helvetica" w:hAnsi="Helvetica"/>
          <w:color w:val="2F2F2F"/>
          <w:shd w:val="clear" w:color="auto" w:fill="FFFFFF"/>
        </w:rPr>
        <w:t>抽取公司保单贷款业务的利息和印花税（公司部分）数据，并进行记账，保单贷款清偿原有账务规则变更。</w:t>
      </w:r>
    </w:p>
    <w:p>
      <w:pPr>
        <w:pStyle w:val="3"/>
        <w:numPr>
          <w:ilvl w:val="0"/>
          <w:numId w:val="4"/>
        </w:numPr>
      </w:pPr>
      <w:r>
        <w:rPr>
          <w:rFonts w:hint="eastAsia"/>
        </w:rPr>
        <w:t>功能摘要</w:t>
      </w:r>
    </w:p>
    <w:tbl>
      <w:tblPr>
        <w:tblStyle w:val="1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6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shd w:val="clear" w:color="auto" w:fill="DEEAF6" w:themeFill="accent1" w:themeFillTint="33"/>
          </w:tcPr>
          <w:p>
            <w:pPr>
              <w:ind w:firstLine="0" w:firstLineChars="0"/>
              <w:jc w:val="center"/>
            </w:pPr>
            <w:r>
              <w:rPr>
                <w:rFonts w:hint="eastAsia"/>
              </w:rPr>
              <w:t>功能模块</w:t>
            </w:r>
          </w:p>
        </w:tc>
        <w:tc>
          <w:tcPr>
            <w:tcW w:w="4105" w:type="pct"/>
            <w:shd w:val="clear" w:color="auto" w:fill="DEEAF6" w:themeFill="accent1" w:themeFillTint="33"/>
          </w:tcPr>
          <w:p>
            <w:pPr>
              <w:ind w:firstLine="0" w:firstLineChars="0"/>
              <w:jc w:val="cente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vAlign w:val="center"/>
          </w:tcPr>
          <w:p>
            <w:pPr>
              <w:ind w:firstLine="0" w:firstLineChars="0"/>
            </w:pPr>
            <w:r>
              <w:rPr>
                <w:rFonts w:hint="eastAsia" w:ascii="微软雅黑" w:hAnsi="微软雅黑"/>
              </w:rPr>
              <w:t>抽数</w:t>
            </w:r>
          </w:p>
        </w:tc>
        <w:tc>
          <w:tcPr>
            <w:tcW w:w="4105" w:type="pct"/>
          </w:tcPr>
          <w:p>
            <w:pPr>
              <w:pStyle w:val="17"/>
              <w:numPr>
                <w:ilvl w:val="0"/>
                <w:numId w:val="5"/>
              </w:numPr>
              <w:ind w:firstLineChars="0"/>
            </w:pPr>
            <w:r>
              <w:rPr>
                <w:rFonts w:hint="eastAsia" w:ascii="Helvetica" w:hAnsi="Helvetica"/>
                <w:color w:val="2F2F2F"/>
                <w:shd w:val="clear" w:color="auto" w:fill="FFFFFF"/>
              </w:rPr>
              <w:t>公司保单贷款业务的利息和印花税（公司部分）数据抽取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tcPr>
          <w:p>
            <w:pPr>
              <w:ind w:firstLine="0" w:firstLineChars="0"/>
            </w:pPr>
            <w:r>
              <w:rPr>
                <w:rFonts w:hint="eastAsia"/>
              </w:rPr>
              <w:t>记账</w:t>
            </w:r>
          </w:p>
        </w:tc>
        <w:tc>
          <w:tcPr>
            <w:tcW w:w="4105" w:type="pct"/>
          </w:tcPr>
          <w:p>
            <w:pPr>
              <w:pStyle w:val="17"/>
              <w:numPr>
                <w:ilvl w:val="0"/>
                <w:numId w:val="5"/>
              </w:numPr>
              <w:ind w:firstLineChars="0"/>
            </w:pPr>
            <w:r>
              <w:rPr>
                <w:rFonts w:hint="eastAsia" w:ascii="Helvetica" w:hAnsi="Helvetica"/>
                <w:color w:val="2F2F2F"/>
                <w:shd w:val="clear" w:color="auto" w:fill="FFFFFF"/>
              </w:rPr>
              <w:t>公司保单贷款业务的利息和印花税（公司部分）记账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pct"/>
          </w:tcPr>
          <w:p>
            <w:pPr>
              <w:ind w:firstLine="0" w:firstLineChars="0"/>
            </w:pPr>
            <w:r>
              <w:rPr>
                <w:rFonts w:hint="eastAsia"/>
              </w:rPr>
              <w:t>变更</w:t>
            </w:r>
          </w:p>
        </w:tc>
        <w:tc>
          <w:tcPr>
            <w:tcW w:w="4105" w:type="pct"/>
          </w:tcPr>
          <w:p>
            <w:pPr>
              <w:pStyle w:val="17"/>
              <w:numPr>
                <w:ilvl w:val="0"/>
                <w:numId w:val="5"/>
              </w:numPr>
              <w:ind w:firstLineChars="0"/>
              <w:rPr>
                <w:rFonts w:ascii="Helvetica" w:hAnsi="Helvetica"/>
                <w:color w:val="2F2F2F"/>
                <w:shd w:val="clear" w:color="auto" w:fill="FFFFFF"/>
              </w:rPr>
            </w:pPr>
            <w:r>
              <w:rPr>
                <w:rFonts w:hint="eastAsia" w:ascii="Helvetica" w:hAnsi="Helvetica"/>
                <w:color w:val="2F2F2F"/>
                <w:shd w:val="clear" w:color="auto" w:fill="FFFFFF"/>
              </w:rPr>
              <w:t>保单贷款清偿原有账务规则变更</w:t>
            </w:r>
          </w:p>
        </w:tc>
      </w:tr>
    </w:tbl>
    <w:p>
      <w:pPr>
        <w:ind w:firstLine="360"/>
      </w:pPr>
    </w:p>
    <w:p>
      <w:pPr>
        <w:pStyle w:val="3"/>
        <w:numPr>
          <w:ilvl w:val="0"/>
          <w:numId w:val="4"/>
        </w:numPr>
      </w:pPr>
      <w:r>
        <w:rPr>
          <w:rFonts w:hint="eastAsia"/>
        </w:rPr>
        <w:t>流程/结构</w:t>
      </w:r>
    </w:p>
    <w:p>
      <w:pPr>
        <w:ind w:firstLine="360"/>
      </w:pPr>
      <w:r>
        <w:rPr>
          <w:rFonts w:hint="eastAsia"/>
        </w:rPr>
        <w:t>无。</w:t>
      </w:r>
    </w:p>
    <w:p>
      <w:pPr>
        <w:ind w:firstLine="360"/>
      </w:pPr>
    </w:p>
    <w:p>
      <w:pPr>
        <w:pStyle w:val="2"/>
        <w:ind w:firstLine="420"/>
      </w:pPr>
      <w:r>
        <w:rPr>
          <w:rFonts w:hint="eastAsia"/>
        </w:rPr>
        <w:t>四【产品详述】</w:t>
      </w:r>
    </w:p>
    <w:p>
      <w:pPr>
        <w:pStyle w:val="3"/>
        <w:numPr>
          <w:ilvl w:val="0"/>
          <w:numId w:val="6"/>
        </w:numPr>
      </w:pPr>
      <w:r>
        <w:rPr>
          <w:rFonts w:hint="eastAsia" w:ascii="Helvetica" w:hAnsi="Helvetica"/>
          <w:color w:val="2F2F2F"/>
          <w:shd w:val="clear" w:color="auto" w:fill="FFFFFF"/>
        </w:rPr>
        <w:t>数据</w:t>
      </w:r>
      <w:r>
        <w:rPr>
          <w:rFonts w:hint="eastAsia" w:ascii="微软雅黑" w:hAnsi="微软雅黑"/>
        </w:rPr>
        <w:t>抽取</w:t>
      </w:r>
    </w:p>
    <w:p>
      <w:pPr>
        <w:pStyle w:val="4"/>
        <w:ind w:firstLine="422"/>
      </w:pPr>
      <w:r>
        <w:rPr>
          <w:rFonts w:hint="eastAsia"/>
        </w:rPr>
        <w:t>1.1 抽取对象</w:t>
      </w:r>
    </w:p>
    <w:p>
      <w:pPr>
        <w:ind w:firstLine="360"/>
      </w:pPr>
      <w:r>
        <w:rPr>
          <w:rFonts w:hint="eastAsia"/>
        </w:rPr>
        <w:t>（一）保单质押贷款利息</w:t>
      </w:r>
    </w:p>
    <w:p>
      <w:pPr>
        <w:ind w:firstLine="360"/>
      </w:pPr>
      <w:r>
        <w:rPr>
          <w:rFonts w:hint="eastAsia"/>
        </w:rPr>
        <w:t>（二）印花税（公司部分）</w:t>
      </w:r>
    </w:p>
    <w:p>
      <w:pPr>
        <w:pStyle w:val="4"/>
        <w:ind w:firstLine="422"/>
      </w:pPr>
      <w:r>
        <w:rPr>
          <w:rFonts w:hint="eastAsia"/>
        </w:rPr>
        <w:t>1.2 抽取规则</w:t>
      </w:r>
    </w:p>
    <w:p>
      <w:pPr>
        <w:ind w:firstLine="360"/>
      </w:pPr>
      <w:r>
        <w:rPr>
          <w:rFonts w:hint="eastAsia"/>
        </w:rPr>
        <w:t>（一）保单质押贷款利息</w:t>
      </w:r>
    </w:p>
    <w:p>
      <w:pPr>
        <w:ind w:firstLine="360"/>
      </w:pPr>
      <w:r>
        <w:rPr>
          <w:rFonts w:hint="eastAsia"/>
        </w:rPr>
        <w:t>1</w:t>
      </w:r>
      <w:r>
        <w:t>.</w:t>
      </w:r>
      <w:r>
        <w:rPr>
          <w:rFonts w:hint="eastAsia"/>
        </w:rPr>
        <w:t>抽取范围</w:t>
      </w:r>
    </w:p>
    <w:p>
      <w:pPr>
        <w:ind w:firstLine="360"/>
      </w:pPr>
      <w:r>
        <w:t>i</w:t>
      </w:r>
      <w:r>
        <w:rPr>
          <w:rFonts w:hint="eastAsia"/>
        </w:rPr>
        <w:t>、保单状态为“生效”，截止计提日尚未偿还保单质押贷款应收利息和增值税；</w:t>
      </w:r>
    </w:p>
    <w:p>
      <w:pPr>
        <w:ind w:firstLine="360"/>
      </w:pPr>
      <w:r>
        <w:t>ii</w:t>
      </w:r>
      <w:r>
        <w:rPr>
          <w:rFonts w:hint="eastAsia"/>
        </w:rPr>
        <w:t>、保单因续期停效中止，此时仍有保单质押贷款时，在复效期间应正常计息，截止计提日尚未偿还保单质押贷款应收利息和增值税，但贷款本金加应收利息达到或超过保单现金价值90%时停止计提利息；</w:t>
      </w:r>
    </w:p>
    <w:p>
      <w:pPr>
        <w:ind w:firstLine="360"/>
      </w:pPr>
      <w:r>
        <w:rPr>
          <w:rFonts w:hint="eastAsia"/>
        </w:rPr>
        <w:t>iii、未还垫款（自垫），‘未还垫款’的利息（</w:t>
      </w:r>
      <w:r>
        <w:rPr>
          <w:rFonts w:hint="eastAsia"/>
          <w:highlight w:val="yellow"/>
        </w:rPr>
        <w:t>垫款利息率待确定是否与保单质押贷款利息率一致</w:t>
      </w:r>
      <w:r>
        <w:rPr>
          <w:rFonts w:hint="eastAsia"/>
        </w:rPr>
        <w:t>），截止计提日尚未偿还垫款（自垫）应收利息和增值税。</w:t>
      </w:r>
    </w:p>
    <w:p>
      <w:pPr>
        <w:ind w:firstLine="360"/>
      </w:pPr>
      <w:r>
        <w:rPr>
          <w:rFonts w:hint="eastAsia"/>
        </w:rPr>
        <w:t>2.抽取周期</w:t>
      </w:r>
    </w:p>
    <w:p>
      <w:pPr>
        <w:ind w:firstLine="360"/>
      </w:pPr>
      <w:r>
        <w:rPr>
          <w:rFonts w:hint="eastAsia"/>
        </w:rPr>
        <w:t>每月抽取截止月末最后一天2</w:t>
      </w:r>
      <w:r>
        <w:t>4</w:t>
      </w:r>
      <w:r>
        <w:rPr>
          <w:rFonts w:hint="eastAsia"/>
        </w:rPr>
        <w:t>:</w:t>
      </w:r>
      <w:r>
        <w:t>00</w:t>
      </w:r>
      <w:r>
        <w:rPr>
          <w:rFonts w:hint="eastAsia"/>
        </w:rPr>
        <w:t>数据，次月1日2</w:t>
      </w:r>
      <w:r>
        <w:t>4</w:t>
      </w:r>
      <w:r>
        <w:rPr>
          <w:rFonts w:hint="eastAsia"/>
        </w:rPr>
        <w:t>：0</w:t>
      </w:r>
      <w:r>
        <w:t>0</w:t>
      </w:r>
      <w:r>
        <w:rPr>
          <w:rFonts w:hint="eastAsia"/>
        </w:rPr>
        <w:t>前冲销前一日计提利息和增值税的财务凭证。</w:t>
      </w:r>
    </w:p>
    <w:p>
      <w:pPr>
        <w:ind w:firstLine="360"/>
      </w:pPr>
      <w:r>
        <w:rPr>
          <w:rFonts w:hint="eastAsia"/>
        </w:rPr>
        <w:t>3</w:t>
      </w:r>
      <w:r>
        <w:t>.</w:t>
      </w:r>
      <w:r>
        <w:rPr>
          <w:rFonts w:hint="eastAsia"/>
        </w:rPr>
        <w:t>计算公式</w:t>
      </w:r>
    </w:p>
    <w:p>
      <w:pPr>
        <w:ind w:firstLine="360"/>
      </w:pPr>
      <w:r>
        <w:t>i</w:t>
      </w:r>
      <w:r>
        <w:rPr>
          <w:rFonts w:hint="eastAsia"/>
        </w:rPr>
        <w:t>、</w:t>
      </w:r>
      <w:r>
        <w:t>“</w:t>
      </w:r>
      <w:r>
        <w:rPr>
          <w:rFonts w:hint="eastAsia"/>
        </w:rPr>
        <w:t>利息收入-业务利息-质押贷款计提利息-其他</w:t>
      </w:r>
      <w:r>
        <w:t>”</w:t>
      </w:r>
      <w:r>
        <w:rPr>
          <w:rFonts w:hint="eastAsia"/>
        </w:rPr>
        <w:t>科目计算公式：</w:t>
      </w:r>
    </w:p>
    <w:p>
      <w:pPr>
        <w:ind w:firstLine="360"/>
      </w:pPr>
      <m:oMathPara>
        <m:oMath>
          <m:r>
            <m:rPr>
              <m:sty m:val="p"/>
            </m:rPr>
            <w:rPr>
              <w:rFonts w:hint="eastAsia" w:ascii="Cambria Math" w:hAnsi="Cambria Math"/>
            </w:rPr>
            <m:t>利息收入</m:t>
          </m:r>
          <m:r>
            <m:rPr>
              <m:sty m:val="p"/>
            </m:rPr>
            <w:rPr>
              <w:rFonts w:ascii="Cambria Math" w:hAnsi="Cambria Math" w:eastAsia="Cambria Math" w:cs="Cambria Math"/>
            </w:rPr>
            <m:t>=</m:t>
          </m:r>
          <m:f>
            <m:fPr>
              <m:ctrlPr>
                <w:rPr>
                  <w:rFonts w:ascii="Cambria Math" w:hAnsi="Cambria Math" w:eastAsia="Cambria Math"/>
                </w:rPr>
              </m:ctrlPr>
            </m:fPr>
            <m:num>
              <m:r>
                <m:rPr>
                  <m:sty m:val="p"/>
                </m:rPr>
                <w:rPr>
                  <w:rFonts w:hint="eastAsia" w:ascii="Cambria Math" w:hAnsi="Cambria Math" w:cs="Cambria Math" w:eastAsiaTheme="minorEastAsia"/>
                </w:rPr>
                <m:t>应收利息</m:t>
              </m:r>
              <m:ctrlPr>
                <w:rPr>
                  <w:rFonts w:ascii="Cambria Math" w:hAnsi="Cambria Math" w:eastAsia="Cambria Math"/>
                </w:rPr>
              </m:ctrlPr>
            </m:num>
            <m:den>
              <m:r>
                <m:rPr>
                  <m:sty m:val="p"/>
                </m:rPr>
                <w:rPr>
                  <w:rFonts w:ascii="Cambria Math" w:hAnsi="Cambria Math" w:eastAsia="Cambria Math" w:cs="Cambria Math"/>
                </w:rPr>
                <m:t>1+6%</m:t>
              </m:r>
              <m:ctrlPr>
                <w:rPr>
                  <w:rFonts w:ascii="Cambria Math" w:hAnsi="Cambria Math" w:eastAsia="Cambria Math"/>
                </w:rPr>
              </m:ctrlPr>
            </m:den>
          </m:f>
        </m:oMath>
      </m:oMathPara>
    </w:p>
    <w:p>
      <w:pPr>
        <w:ind w:firstLine="360"/>
      </w:pPr>
    </w:p>
    <w:p>
      <w:pPr>
        <w:ind w:firstLine="360"/>
        <w:rPr>
          <w:color w:val="333333"/>
          <w:szCs w:val="18"/>
        </w:rPr>
      </w:pPr>
      <w:r>
        <w:t>I</w:t>
      </w:r>
      <w:r>
        <w:rPr>
          <w:rFonts w:hint="eastAsia"/>
        </w:rPr>
        <w:t>i、“应交税费-应交增值税</w:t>
      </w:r>
      <w:r>
        <w:t>-</w:t>
      </w:r>
      <w:r>
        <w:rPr>
          <w:rFonts w:hint="eastAsia"/>
        </w:rPr>
        <w:t>销项税额-利息收入增值税”科目计算公式：</w:t>
      </w:r>
      <w:r>
        <w:br w:type="textWrapping"/>
      </w:r>
      <m:oMathPara>
        <m:oMath>
          <m:r>
            <m:rPr>
              <m:sty m:val="p"/>
            </m:rPr>
            <w:rPr>
              <w:rFonts w:hint="eastAsia" w:ascii="Cambria Math" w:hAnsi="Cambria Math"/>
            </w:rPr>
            <m:t>应交增值税</m:t>
          </m:r>
          <m:r>
            <m:rPr>
              <m:sty m:val="p"/>
            </m:rPr>
            <w:rPr>
              <w:rFonts w:ascii="Cambria Math" w:hAnsi="Cambria Math" w:eastAsia="Cambria Math" w:cs="Cambria Math"/>
            </w:rPr>
            <m:t>=</m:t>
          </m:r>
          <m:f>
            <m:fPr>
              <m:ctrlPr>
                <w:rPr>
                  <w:rFonts w:ascii="Cambria Math" w:hAnsi="Cambria Math" w:eastAsia="Cambria Math"/>
                </w:rPr>
              </m:ctrlPr>
            </m:fPr>
            <m:num>
              <m:r>
                <m:rPr>
                  <m:sty m:val="p"/>
                </m:rPr>
                <w:rPr>
                  <w:rFonts w:hint="eastAsia" w:ascii="Cambria Math" w:hAnsi="Cambria Math" w:cs="Cambria Math" w:eastAsiaTheme="minorEastAsia"/>
                </w:rPr>
                <m:t>应收利息</m:t>
              </m:r>
              <m:ctrlPr>
                <w:rPr>
                  <w:rFonts w:ascii="Cambria Math" w:hAnsi="Cambria Math" w:eastAsia="Cambria Math"/>
                </w:rPr>
              </m:ctrlPr>
            </m:num>
            <m:den>
              <m:r>
                <m:rPr>
                  <m:sty m:val="p"/>
                </m:rPr>
                <w:rPr>
                  <w:rFonts w:ascii="Cambria Math" w:hAnsi="Cambria Math" w:eastAsia="Cambria Math" w:cs="Cambria Math"/>
                </w:rPr>
                <m:t>1+6%</m:t>
              </m:r>
              <m:ctrlPr>
                <w:rPr>
                  <w:rFonts w:ascii="Cambria Math" w:hAnsi="Cambria Math" w:eastAsia="Cambria Math"/>
                </w:rPr>
              </m:ctrlPr>
            </m:den>
          </m:f>
          <m:r>
            <m:rPr>
              <m:sty m:val="p"/>
            </m:rPr>
            <w:rPr>
              <w:rFonts w:ascii="Cambria Math" w:hAnsi="Cambria Math" w:cs="Arial"/>
              <w:color w:val="333333"/>
              <w:szCs w:val="18"/>
            </w:rPr>
            <m:t>×</m:t>
          </m:r>
          <m:r>
            <m:rPr>
              <m:sty m:val="p"/>
            </m:rPr>
            <w:rPr>
              <w:rFonts w:ascii="Cambria Math" w:hAnsi="Arial" w:cs="Arial"/>
              <w:color w:val="333333"/>
              <w:szCs w:val="18"/>
            </w:rPr>
            <m:t>6%</m:t>
          </m:r>
        </m:oMath>
      </m:oMathPara>
    </w:p>
    <w:p>
      <w:pPr>
        <w:ind w:firstLine="360"/>
      </w:pPr>
      <w:r>
        <w:rPr>
          <w:rFonts w:hint="eastAsia"/>
        </w:rPr>
        <w:t>（二）印花税（公司部分）</w:t>
      </w:r>
    </w:p>
    <w:p>
      <w:pPr>
        <w:ind w:firstLine="360"/>
      </w:pPr>
      <w:r>
        <w:rPr>
          <w:rFonts w:hint="eastAsia"/>
        </w:rPr>
        <w:t>1</w:t>
      </w:r>
      <w:r>
        <w:t>.</w:t>
      </w:r>
      <w:r>
        <w:rPr>
          <w:rFonts w:hint="eastAsia"/>
        </w:rPr>
        <w:t>抽取范围</w:t>
      </w:r>
    </w:p>
    <w:p>
      <w:pPr>
        <w:ind w:firstLine="360"/>
      </w:pPr>
      <w:r>
        <w:t>i</w:t>
      </w:r>
      <w:r>
        <w:rPr>
          <w:rFonts w:hint="eastAsia"/>
        </w:rPr>
        <w:t>、保单质押贷款合同生效后，同时按照保单质押贷款金额万分之0</w:t>
      </w:r>
      <w:r>
        <w:t>.5</w:t>
      </w:r>
      <w:r>
        <w:rPr>
          <w:rFonts w:hint="eastAsia"/>
        </w:rPr>
        <w:t>计提公司和客户双方印花税；</w:t>
      </w:r>
    </w:p>
    <w:p>
      <w:pPr>
        <w:ind w:firstLine="360"/>
      </w:pPr>
      <w:r>
        <w:rPr>
          <w:rFonts w:hint="eastAsia"/>
        </w:rPr>
        <w:t>ii、保单质押贷款增贷/续贷，且不对前次贷款本金做账务处理，仅对增贷/续贷部分，同时按照保单质押贷款金额万分之0</w:t>
      </w:r>
      <w:r>
        <w:t>.5</w:t>
      </w:r>
      <w:r>
        <w:rPr>
          <w:rFonts w:hint="eastAsia"/>
        </w:rPr>
        <w:t>计提公司和客户双方印花税。</w:t>
      </w:r>
    </w:p>
    <w:p>
      <w:pPr>
        <w:ind w:firstLine="360"/>
      </w:pPr>
      <w:r>
        <w:rPr>
          <w:rFonts w:hint="eastAsia"/>
        </w:rPr>
        <w:t>2</w:t>
      </w:r>
      <w:r>
        <w:t>.</w:t>
      </w:r>
      <w:r>
        <w:rPr>
          <w:rFonts w:hint="eastAsia"/>
        </w:rPr>
        <w:t>抽取周期</w:t>
      </w:r>
    </w:p>
    <w:p>
      <w:pPr>
        <w:ind w:firstLine="360"/>
        <w:rPr>
          <w:color w:val="FF0000"/>
        </w:rPr>
      </w:pPr>
      <w:r>
        <w:rPr>
          <w:rFonts w:hint="eastAsia"/>
        </w:rPr>
        <w:t>付费确认日抽取，</w:t>
      </w:r>
      <w:r>
        <w:rPr>
          <w:rFonts w:hint="eastAsia"/>
          <w:color w:val="FF0000"/>
        </w:rPr>
        <w:t>注：前期印花税计提规则中，记账日期为“保全生效日”，应变更为“付费确认日”。</w:t>
      </w:r>
    </w:p>
    <w:p>
      <w:pPr>
        <w:ind w:firstLine="360"/>
        <w:rPr>
          <w:rFonts w:hint="eastAsia"/>
        </w:rPr>
      </w:pPr>
      <w:r>
        <w:t>(</w:t>
      </w:r>
      <w:r>
        <w:rPr>
          <w:rFonts w:hint="eastAsia"/>
        </w:rPr>
        <w:t>修改记账日期</w:t>
      </w:r>
      <w:r>
        <w:rPr>
          <w:rFonts w:hint="eastAsia"/>
          <w:color w:val="FF0000"/>
        </w:rPr>
        <w:t>待定)</w:t>
      </w:r>
    </w:p>
    <w:p>
      <w:pPr>
        <w:pStyle w:val="3"/>
        <w:numPr>
          <w:ilvl w:val="0"/>
          <w:numId w:val="6"/>
        </w:numPr>
      </w:pPr>
      <w:r>
        <w:rPr>
          <w:rFonts w:hint="eastAsia" w:ascii="Helvetica" w:hAnsi="Helvetica"/>
          <w:color w:val="2F2F2F"/>
          <w:shd w:val="clear" w:color="auto" w:fill="FFFFFF"/>
        </w:rPr>
        <w:t>记账</w:t>
      </w:r>
    </w:p>
    <w:p>
      <w:pPr>
        <w:numPr>
          <w:ilvl w:val="0"/>
          <w:numId w:val="7"/>
        </w:numPr>
        <w:rPr>
          <w:rFonts w:hint="eastAsia" w:ascii="Helvetica" w:hAnsi="Helvetica"/>
          <w:color w:val="2F2F2F"/>
          <w:shd w:val="clear" w:color="auto" w:fill="FFFFFF"/>
          <w:lang w:val="en-US" w:eastAsia="zh-CN"/>
        </w:rPr>
      </w:pPr>
      <w:r>
        <w:rPr>
          <w:rFonts w:hint="eastAsia" w:ascii="Helvetica" w:hAnsi="Helvetica"/>
          <w:color w:val="2F2F2F"/>
          <w:shd w:val="clear" w:color="auto" w:fill="FFFFFF"/>
          <w:lang w:val="en-US" w:eastAsia="zh-CN"/>
        </w:rPr>
        <w:t>险种欠费失效名下未清偿贷款但贷款本息和未超过险种失效时现价，在险种失效时点计提贷款利息；失效后的月末不在计提失效险种的贷款利息；</w:t>
      </w:r>
    </w:p>
    <w:p>
      <w:pPr>
        <w:numPr>
          <w:numId w:val="0"/>
        </w:numPr>
        <w:rPr>
          <w:rFonts w:hint="eastAsia" w:ascii="Helvetica" w:hAnsi="Helvetica"/>
          <w:color w:val="2F2F2F"/>
          <w:shd w:val="clear" w:color="auto" w:fill="FFFFFF"/>
          <w:lang w:val="en-US" w:eastAsia="zh-CN"/>
        </w:rPr>
      </w:pPr>
      <w:r>
        <w:rPr>
          <w:rFonts w:hint="eastAsia" w:ascii="Helvetica" w:hAnsi="Helvetica"/>
          <w:color w:val="2F2F2F"/>
          <w:shd w:val="clear" w:color="auto" w:fill="FFFFFF"/>
          <w:lang w:val="en-US" w:eastAsia="zh-CN"/>
        </w:rPr>
        <w:t>在复效场景中</w:t>
      </w:r>
    </w:p>
    <w:p>
      <w:pPr>
        <w:numPr>
          <w:ilvl w:val="0"/>
          <w:numId w:val="8"/>
        </w:numPr>
        <w:ind w:left="180" w:leftChars="0" w:firstLine="0" w:firstLineChars="0"/>
        <w:rPr>
          <w:rFonts w:hint="eastAsia" w:ascii="Helvetica" w:hAnsi="Helvetica"/>
          <w:color w:val="2F2F2F"/>
          <w:shd w:val="clear" w:color="auto" w:fill="FFFFFF"/>
          <w:lang w:val="en-US" w:eastAsia="zh-CN"/>
        </w:rPr>
      </w:pPr>
      <w:r>
        <w:rPr>
          <w:rFonts w:hint="eastAsia" w:ascii="Helvetica" w:hAnsi="Helvetica"/>
          <w:color w:val="2F2F2F"/>
          <w:shd w:val="clear" w:color="auto" w:fill="FFFFFF"/>
          <w:lang w:val="en-US" w:eastAsia="zh-CN"/>
        </w:rPr>
        <w:t>交纳险种保费及滞纳金不清偿贷款本息和，需判断复效时点贷款本息和与险种复效时点的现价，若超现价，险种应不可复效，同时提醒必须清偿贷款本息和</w:t>
      </w:r>
      <w:bookmarkStart w:id="3" w:name="_GoBack"/>
      <w:bookmarkEnd w:id="3"/>
      <w:r>
        <w:rPr>
          <w:rFonts w:hint="eastAsia" w:ascii="Helvetica" w:hAnsi="Helvetica"/>
          <w:color w:val="2F2F2F"/>
          <w:shd w:val="clear" w:color="auto" w:fill="FFFFFF"/>
          <w:lang w:val="en-US" w:eastAsia="zh-CN"/>
        </w:rPr>
        <w:t>。</w:t>
      </w:r>
    </w:p>
    <w:p>
      <w:pPr>
        <w:numPr>
          <w:numId w:val="0"/>
        </w:numPr>
        <w:ind w:left="180" w:leftChars="0"/>
        <w:rPr>
          <w:rFonts w:hint="default" w:ascii="Helvetica" w:hAnsi="Helvetica"/>
          <w:color w:val="2F2F2F"/>
          <w:shd w:val="clear" w:color="auto" w:fill="FFFFFF"/>
          <w:lang w:val="en-US" w:eastAsia="zh-CN"/>
        </w:rPr>
      </w:pPr>
      <w:r>
        <w:rPr>
          <w:rFonts w:hint="eastAsia" w:ascii="Helvetica" w:hAnsi="Helvetica"/>
          <w:color w:val="2F2F2F"/>
          <w:shd w:val="clear" w:color="auto" w:fill="FFFFFF"/>
          <w:lang w:val="en-US" w:eastAsia="zh-CN"/>
        </w:rPr>
        <w:t xml:space="preserve">   未超现价时给客户展示的是到复效时点的贷款本息和及滞纳金；</w:t>
      </w:r>
    </w:p>
    <w:p>
      <w:pPr>
        <w:numPr>
          <w:ilvl w:val="0"/>
          <w:numId w:val="8"/>
        </w:numPr>
        <w:ind w:left="180" w:leftChars="0" w:firstLine="0" w:firstLineChars="0"/>
        <w:rPr>
          <w:rFonts w:hint="default" w:ascii="Helvetica" w:hAnsi="Helvetica"/>
          <w:color w:val="2F2F2F"/>
          <w:shd w:val="clear" w:color="auto" w:fill="FFFFFF"/>
          <w:lang w:val="en-US" w:eastAsia="zh-CN"/>
        </w:rPr>
      </w:pPr>
      <w:r>
        <w:rPr>
          <w:rFonts w:hint="eastAsia" w:ascii="Helvetica" w:hAnsi="Helvetica"/>
          <w:color w:val="2F2F2F"/>
          <w:shd w:val="clear" w:color="auto" w:fill="FFFFFF"/>
          <w:lang w:val="en-US" w:eastAsia="zh-CN"/>
        </w:rPr>
        <w:t>交纳险种保费及滞纳金同时清偿贷款本息和</w:t>
      </w:r>
    </w:p>
    <w:p>
      <w:pPr>
        <w:pStyle w:val="4"/>
        <w:ind w:firstLine="422"/>
      </w:pPr>
      <w:r>
        <w:t>2</w:t>
      </w:r>
      <w:r>
        <w:rPr>
          <w:rFonts w:hint="eastAsia"/>
        </w:rPr>
        <w:t>.1 业务场景</w:t>
      </w:r>
    </w:p>
    <w:p>
      <w:pPr>
        <w:ind w:firstLine="360"/>
      </w:pPr>
      <w:r>
        <w:rPr>
          <w:rFonts w:hint="eastAsia"/>
        </w:rPr>
        <w:t>（一）保单质押贷款利息</w:t>
      </w:r>
    </w:p>
    <w:p>
      <w:pPr>
        <w:ind w:firstLine="360"/>
      </w:pPr>
      <w:r>
        <w:rPr>
          <w:rFonts w:hint="eastAsia"/>
        </w:rPr>
        <w:t>场景1：保单贷款至今，‘未还贷款’的利息，计算规则同结息批处理，计提增值税，但不滚入本金，只用于总账记账及过账；</w:t>
      </w:r>
    </w:p>
    <w:p>
      <w:pPr>
        <w:ind w:firstLine="360"/>
      </w:pPr>
      <w:r>
        <w:rPr>
          <w:rFonts w:hint="eastAsia"/>
        </w:rPr>
        <w:t>场景2：保单因续期停效中止，此时仍有保单质押贷款时，在复效期间应正常计息，计算规则同结息批处理，计提增值税，但不滚入本金，只用于总账记账及过账，</w:t>
      </w:r>
    </w:p>
    <w:p>
      <w:pPr>
        <w:ind w:firstLine="360"/>
      </w:pPr>
      <w:r>
        <w:rPr>
          <w:rFonts w:hint="eastAsia"/>
        </w:rPr>
        <w:t>但贷款本金加应收利息达到或超过保单现价90%时停止计提利息。</w:t>
      </w:r>
    </w:p>
    <w:p>
      <w:pPr>
        <w:ind w:firstLine="360"/>
      </w:pPr>
      <w:r>
        <w:rPr>
          <w:rFonts w:hint="eastAsia"/>
        </w:rPr>
        <w:t>场景3：未还垫款（自垫）至今，‘未还垫款’的利息，计算规则同结息批处理，计提增值税，但不滚入本金，只用于总账记账及过账；</w:t>
      </w:r>
    </w:p>
    <w:p>
      <w:pPr>
        <w:ind w:firstLine="360"/>
      </w:pPr>
      <w:r>
        <w:rPr>
          <w:rFonts w:hint="eastAsia"/>
        </w:rPr>
        <w:t>（二）印花税（公司部分）</w:t>
      </w:r>
    </w:p>
    <w:p>
      <w:pPr>
        <w:ind w:firstLine="360"/>
      </w:pPr>
      <w:r>
        <w:rPr>
          <w:rFonts w:hint="eastAsia"/>
        </w:rPr>
        <w:t>业务场景：</w:t>
      </w:r>
    </w:p>
    <w:p>
      <w:pPr>
        <w:ind w:firstLine="360"/>
      </w:pPr>
      <w:r>
        <w:rPr>
          <w:rFonts w:hint="eastAsia"/>
        </w:rPr>
        <w:t>场景1：保单贷款，计提公司和客户双方印花税</w:t>
      </w:r>
    </w:p>
    <w:p>
      <w:pPr>
        <w:ind w:firstLine="360"/>
      </w:pPr>
      <w:r>
        <w:rPr>
          <w:rFonts w:hint="eastAsia"/>
        </w:rPr>
        <w:t>场景2：保单贷款增贷/续贷，且不对前次贷款本金做账务处理，计提公司和客户双方印花税</w:t>
      </w:r>
    </w:p>
    <w:p>
      <w:pPr>
        <w:pStyle w:val="4"/>
        <w:ind w:firstLine="422"/>
      </w:pPr>
      <w:r>
        <w:t>2</w:t>
      </w:r>
      <w:r>
        <w:rPr>
          <w:rFonts w:hint="eastAsia"/>
        </w:rPr>
        <w:t>.2 费用流程</w:t>
      </w:r>
    </w:p>
    <w:p>
      <w:pPr>
        <w:ind w:firstLine="360"/>
      </w:pPr>
      <w:r>
        <w:rPr>
          <w:rFonts w:hint="eastAsia"/>
        </w:rPr>
        <w:t>（一）保单质押贷款利息</w:t>
      </w:r>
    </w:p>
    <w:p>
      <w:pPr>
        <w:ind w:firstLine="360"/>
      </w:pPr>
      <w:r>
        <w:drawing>
          <wp:inline distT="0" distB="0" distL="0" distR="0">
            <wp:extent cx="5274310" cy="1821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822178"/>
                    </a:xfrm>
                    <a:prstGeom prst="rect">
                      <a:avLst/>
                    </a:prstGeom>
                    <a:noFill/>
                    <a:ln>
                      <a:noFill/>
                    </a:ln>
                  </pic:spPr>
                </pic:pic>
              </a:graphicData>
            </a:graphic>
          </wp:inline>
        </w:drawing>
      </w:r>
    </w:p>
    <w:p>
      <w:pPr>
        <w:ind w:firstLine="360"/>
      </w:pPr>
      <w:r>
        <w:object>
          <v:shape id="_x0000_i1025" o:spt="75" type="#_x0000_t75" style="height:56.25pt;width:77.25pt;" o:ole="t" filled="f" o:preferrelative="t" stroked="f" coordsize="21600,21600">
            <v:path/>
            <v:fill on="f" focussize="0,0"/>
            <v:stroke on="f" joinstyle="miter"/>
            <v:imagedata r:id="rId12" o:title=""/>
            <o:lock v:ext="edit" aspectratio="t"/>
            <w10:wrap type="none"/>
            <w10:anchorlock/>
          </v:shape>
          <o:OLEObject Type="Embed" ProgID="Excel.Sheet.12" ShapeID="_x0000_i1025" DrawAspect="Icon" ObjectID="_1468075725" r:id="rId11">
            <o:LockedField>false</o:LockedField>
          </o:OLEObject>
        </w:object>
      </w:r>
    </w:p>
    <w:p>
      <w:pPr>
        <w:ind w:firstLine="360"/>
      </w:pPr>
    </w:p>
    <w:p>
      <w:pPr>
        <w:ind w:firstLine="360"/>
      </w:pPr>
    </w:p>
    <w:p>
      <w:pPr>
        <w:ind w:firstLine="360"/>
      </w:pPr>
    </w:p>
    <w:p>
      <w:pPr>
        <w:ind w:firstLine="360"/>
      </w:pPr>
    </w:p>
    <w:p>
      <w:pPr>
        <w:ind w:firstLine="360"/>
      </w:pPr>
      <w:r>
        <w:rPr>
          <w:rFonts w:hint="eastAsia"/>
        </w:rPr>
        <w:t>（二）印花税</w:t>
      </w:r>
    </w:p>
    <w:p>
      <w:pPr>
        <w:ind w:firstLine="360"/>
      </w:pPr>
      <w:r>
        <w:drawing>
          <wp:inline distT="0" distB="0" distL="0" distR="0">
            <wp:extent cx="5274310" cy="11880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188115"/>
                    </a:xfrm>
                    <a:prstGeom prst="rect">
                      <a:avLst/>
                    </a:prstGeom>
                    <a:noFill/>
                    <a:ln>
                      <a:noFill/>
                    </a:ln>
                  </pic:spPr>
                </pic:pic>
              </a:graphicData>
            </a:graphic>
          </wp:inline>
        </w:drawing>
      </w:r>
    </w:p>
    <w:p>
      <w:pPr>
        <w:ind w:firstLine="360"/>
      </w:pPr>
      <w:r>
        <w:object>
          <v:shape id="_x0000_i1026" o:spt="75" type="#_x0000_t75" style="height:56.25pt;width:77.25pt;" o:ole="t" filled="f" o:preferrelative="t" stroked="f" coordsize="21600,21600">
            <v:path/>
            <v:fill on="f" focussize="0,0"/>
            <v:stroke on="f" joinstyle="miter"/>
            <v:imagedata r:id="rId12" o:title=""/>
            <o:lock v:ext="edit" aspectratio="t"/>
            <w10:wrap type="none"/>
            <w10:anchorlock/>
          </v:shape>
          <o:OLEObject Type="Embed" ProgID="Excel.Sheet.12" ShapeID="_x0000_i1026" DrawAspect="Icon" ObjectID="_1468075726" r:id="rId14">
            <o:LockedField>false</o:LockedField>
          </o:OLEObject>
        </w:object>
      </w:r>
    </w:p>
    <w:p>
      <w:pPr>
        <w:pStyle w:val="4"/>
        <w:ind w:firstLine="422"/>
      </w:pPr>
      <w:r>
        <w:t>2</w:t>
      </w:r>
      <w:r>
        <w:rPr>
          <w:rFonts w:hint="eastAsia"/>
        </w:rPr>
        <w:t>.</w:t>
      </w:r>
      <w:r>
        <w:t>3</w:t>
      </w:r>
      <w:r>
        <w:rPr>
          <w:color w:val="FF0000"/>
        </w:rPr>
        <w:t xml:space="preserve"> </w:t>
      </w:r>
      <w:r>
        <w:rPr>
          <w:rFonts w:hint="eastAsia"/>
        </w:rPr>
        <w:t>记账规则</w:t>
      </w:r>
    </w:p>
    <w:p>
      <w:pPr>
        <w:ind w:firstLine="360"/>
      </w:pPr>
      <w:r>
        <w:rPr>
          <w:rFonts w:hint="eastAsia"/>
        </w:rPr>
        <w:t>（一）保单质押贷款利息</w:t>
      </w:r>
    </w:p>
    <w:p>
      <w:pPr>
        <w:ind w:firstLine="360"/>
      </w:pPr>
    </w:p>
    <w:p>
      <w:pPr>
        <w:ind w:firstLine="360"/>
      </w:pPr>
      <w:bookmarkStart w:id="0" w:name="_MON_1584363396"/>
      <w:bookmarkEnd w:id="0"/>
      <w:r>
        <w:object>
          <v:shape id="_x0000_i1027" o:spt="75" type="#_x0000_t75" style="height:56.25pt;width:77.25pt;" o:ole="t" filled="f" o:preferrelative="t" stroked="f" coordsize="21600,21600">
            <v:path/>
            <v:fill on="f" focussize="0,0"/>
            <v:stroke on="f" joinstyle="miter"/>
            <v:imagedata r:id="rId16" o:title=""/>
            <o:lock v:ext="edit" aspectratio="t"/>
            <w10:wrap type="none"/>
            <w10:anchorlock/>
          </v:shape>
          <o:OLEObject Type="Embed" ProgID="Excel.Sheet.12" ShapeID="_x0000_i1027" DrawAspect="Icon" ObjectID="_1468075727" r:id="rId15">
            <o:LockedField>false</o:LockedField>
          </o:OLEObject>
        </w:object>
      </w:r>
    </w:p>
    <w:p>
      <w:pPr>
        <w:ind w:firstLine="360"/>
      </w:pPr>
    </w:p>
    <w:p>
      <w:pPr>
        <w:ind w:firstLine="360"/>
      </w:pPr>
    </w:p>
    <w:p>
      <w:pPr>
        <w:pStyle w:val="17"/>
        <w:numPr>
          <w:ilvl w:val="0"/>
          <w:numId w:val="9"/>
        </w:numPr>
        <w:ind w:firstLineChars="0"/>
      </w:pPr>
      <w:r>
        <w:rPr>
          <w:rFonts w:hint="eastAsia"/>
        </w:rPr>
        <w:t>印花税</w:t>
      </w:r>
    </w:p>
    <w:p>
      <w:pPr>
        <w:ind w:firstLine="360"/>
      </w:pPr>
    </w:p>
    <w:p>
      <w:pPr>
        <w:ind w:firstLine="360"/>
      </w:pPr>
      <w:bookmarkStart w:id="1" w:name="_MON_1584363553"/>
      <w:bookmarkEnd w:id="1"/>
      <w:r>
        <w:object>
          <v:shape id="_x0000_i1028" o:spt="75" type="#_x0000_t75" style="height:56.25pt;width:77.25pt;" o:ole="t" filled="f" o:preferrelative="t" stroked="f" coordsize="21600,21600">
            <v:path/>
            <v:fill on="f" focussize="0,0"/>
            <v:stroke on="f" joinstyle="miter"/>
            <v:imagedata r:id="rId18" o:title=""/>
            <o:lock v:ext="edit" aspectratio="t"/>
            <w10:wrap type="none"/>
            <w10:anchorlock/>
          </v:shape>
          <o:OLEObject Type="Embed" ProgID="Excel.Sheet.12" ShapeID="_x0000_i1028" DrawAspect="Icon" ObjectID="_1468075728" r:id="rId17">
            <o:LockedField>false</o:LockedField>
          </o:OLEObject>
        </w:object>
      </w:r>
    </w:p>
    <w:p>
      <w:pPr>
        <w:ind w:firstLine="360"/>
        <w:rPr>
          <w:rFonts w:ascii="Helvetica" w:hAnsi="Helvetica"/>
          <w:color w:val="2F2F2F"/>
          <w:shd w:val="clear" w:color="auto" w:fill="FFFFFF"/>
        </w:rPr>
      </w:pPr>
    </w:p>
    <w:p>
      <w:pPr>
        <w:pStyle w:val="3"/>
        <w:numPr>
          <w:ilvl w:val="0"/>
          <w:numId w:val="6"/>
        </w:numPr>
      </w:pPr>
      <w:r>
        <w:rPr>
          <w:rFonts w:hint="eastAsia" w:ascii="Helvetica" w:hAnsi="Helvetica"/>
          <w:color w:val="2F2F2F"/>
          <w:shd w:val="clear" w:color="auto" w:fill="FFFFFF"/>
        </w:rPr>
        <w:t>规则变更</w:t>
      </w:r>
    </w:p>
    <w:p>
      <w:pPr>
        <w:pStyle w:val="4"/>
        <w:ind w:firstLine="422"/>
      </w:pPr>
      <w:r>
        <w:t>3</w:t>
      </w:r>
      <w:r>
        <w:rPr>
          <w:rFonts w:hint="eastAsia"/>
        </w:rPr>
        <w:t>.1 业务场景</w:t>
      </w:r>
    </w:p>
    <w:p>
      <w:pPr>
        <w:ind w:firstLine="360"/>
      </w:pPr>
      <w:r>
        <w:rPr>
          <w:rFonts w:hint="eastAsia"/>
        </w:rPr>
        <w:t>客户偿还保单质押贷款本金及利息。利息收入和应交增值税计算方法同计提单质押贷款利息计算公式一致。</w:t>
      </w:r>
    </w:p>
    <w:p>
      <w:pPr>
        <w:pStyle w:val="4"/>
        <w:ind w:firstLine="422"/>
      </w:pPr>
      <w:r>
        <w:rPr>
          <w:rFonts w:hint="eastAsia"/>
        </w:rPr>
        <w:drawing>
          <wp:anchor distT="0" distB="0" distL="114300" distR="114300" simplePos="0" relativeHeight="251659264" behindDoc="0" locked="0" layoutInCell="1" allowOverlap="1">
            <wp:simplePos x="0" y="0"/>
            <wp:positionH relativeFrom="column">
              <wp:posOffset>-923925</wp:posOffset>
            </wp:positionH>
            <wp:positionV relativeFrom="paragraph">
              <wp:posOffset>571500</wp:posOffset>
            </wp:positionV>
            <wp:extent cx="7195820" cy="1638300"/>
            <wp:effectExtent l="0" t="0" r="508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195820" cy="1638300"/>
                    </a:xfrm>
                    <a:prstGeom prst="rect">
                      <a:avLst/>
                    </a:prstGeom>
                    <a:noFill/>
                    <a:ln>
                      <a:noFill/>
                    </a:ln>
                  </pic:spPr>
                </pic:pic>
              </a:graphicData>
            </a:graphic>
          </wp:anchor>
        </w:drawing>
      </w:r>
      <w:r>
        <w:t>3</w:t>
      </w:r>
      <w:r>
        <w:rPr>
          <w:rFonts w:hint="eastAsia"/>
        </w:rPr>
        <w:t>.2 费用流程</w:t>
      </w:r>
    </w:p>
    <w:p>
      <w:pPr>
        <w:ind w:firstLine="360"/>
      </w:pPr>
    </w:p>
    <w:p>
      <w:pPr>
        <w:ind w:firstLine="360"/>
      </w:pPr>
      <w:bookmarkStart w:id="2" w:name="_MON_1584364009"/>
      <w:bookmarkEnd w:id="2"/>
      <w:r>
        <w:object>
          <v:shape id="_x0000_i1029" o:spt="75" type="#_x0000_t75" style="height:56.25pt;width:77.25pt;" o:ole="t" filled="f" o:preferrelative="t" stroked="f" coordsize="21600,21600">
            <v:path/>
            <v:fill on="f" focussize="0,0"/>
            <v:stroke on="f" joinstyle="miter"/>
            <v:imagedata r:id="rId21" o:title=""/>
            <o:lock v:ext="edit" aspectratio="t"/>
            <w10:wrap type="none"/>
            <w10:anchorlock/>
          </v:shape>
          <o:OLEObject Type="Embed" ProgID="Excel.Sheet.12" ShapeID="_x0000_i1029" DrawAspect="Icon" ObjectID="_1468075729" r:id="rId20">
            <o:LockedField>false</o:LockedField>
          </o:OLEObject>
        </w:object>
      </w:r>
    </w:p>
    <w:p>
      <w:pPr>
        <w:ind w:firstLine="360"/>
      </w:pPr>
    </w:p>
    <w:p>
      <w:pPr>
        <w:pStyle w:val="4"/>
        <w:ind w:firstLine="422"/>
      </w:pPr>
      <w:r>
        <w:t>3</w:t>
      </w:r>
      <w:r>
        <w:rPr>
          <w:rFonts w:hint="eastAsia"/>
        </w:rPr>
        <w:t>.</w:t>
      </w:r>
      <w:r>
        <w:t>3</w:t>
      </w:r>
      <w:r>
        <w:rPr>
          <w:color w:val="FF0000"/>
        </w:rPr>
        <w:t xml:space="preserve"> </w:t>
      </w:r>
      <w:r>
        <w:rPr>
          <w:rFonts w:hint="eastAsia"/>
        </w:rPr>
        <w:t>记账规则</w:t>
      </w:r>
    </w:p>
    <w:p>
      <w:pPr>
        <w:ind w:firstLine="360"/>
      </w:pPr>
    </w:p>
    <w:p>
      <w:pPr>
        <w:ind w:firstLine="360"/>
      </w:pPr>
      <w:r>
        <w:object>
          <v:shape id="_x0000_i1030" o:spt="75" type="#_x0000_t75" style="height:56.25pt;width:77.25pt;" o:ole="t" filled="f" o:preferrelative="t" stroked="f" coordsize="21600,21600">
            <v:path/>
            <v:fill on="f" focussize="0,0"/>
            <v:stroke on="f" joinstyle="miter"/>
            <v:imagedata r:id="rId23" o:title=""/>
            <o:lock v:ext="edit" aspectratio="t"/>
            <w10:wrap type="none"/>
            <w10:anchorlock/>
          </v:shape>
          <o:OLEObject Type="Embed" ProgID="Excel.Sheet.12" ShapeID="_x0000_i1030" DrawAspect="Icon" ObjectID="_1468075730" r:id="rId22">
            <o:LockedField>false</o:LockedField>
          </o:OLEObject>
        </w:obje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Helvetica">
    <w:altName w:val="Arial"/>
    <w:panose1 w:val="020B0504020202020204"/>
    <w:charset w:val="00"/>
    <w:family w:val="swiss"/>
    <w:pitch w:val="default"/>
    <w:sig w:usb0="00000000" w:usb1="00000000" w:usb2="00000009" w:usb3="00000000" w:csb0="000001F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FDF"/>
    <w:multiLevelType w:val="multilevel"/>
    <w:tmpl w:val="02035F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695EE3"/>
    <w:multiLevelType w:val="multilevel"/>
    <w:tmpl w:val="1A695EE3"/>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F9858A7"/>
    <w:multiLevelType w:val="multilevel"/>
    <w:tmpl w:val="3F9858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1481A9A"/>
    <w:multiLevelType w:val="multilevel"/>
    <w:tmpl w:val="41481A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00C6AA8"/>
    <w:multiLevelType w:val="multilevel"/>
    <w:tmpl w:val="600C6AA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674A5DC3"/>
    <w:multiLevelType w:val="multilevel"/>
    <w:tmpl w:val="674A5DC3"/>
    <w:lvl w:ilvl="0" w:tentative="0">
      <w:start w:val="2"/>
      <w:numFmt w:val="japaneseCounting"/>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D6F307B"/>
    <w:multiLevelType w:val="singleLevel"/>
    <w:tmpl w:val="7D6F307B"/>
    <w:lvl w:ilvl="0" w:tentative="0">
      <w:start w:val="1"/>
      <w:numFmt w:val="decimal"/>
      <w:lvlText w:val="%1."/>
      <w:lvlJc w:val="left"/>
      <w:pPr>
        <w:tabs>
          <w:tab w:val="left" w:pos="312"/>
        </w:tabs>
        <w:ind w:left="180" w:leftChars="0" w:firstLine="0" w:firstLineChars="0"/>
      </w:pPr>
    </w:lvl>
  </w:abstractNum>
  <w:abstractNum w:abstractNumId="8">
    <w:nsid w:val="7D86885E"/>
    <w:multiLevelType w:val="singleLevel"/>
    <w:tmpl w:val="7D86885E"/>
    <w:lvl w:ilvl="0" w:tentative="0">
      <w:start w:val="1"/>
      <w:numFmt w:val="decimal"/>
      <w:lvlText w:val="%1."/>
      <w:lvlJc w:val="left"/>
      <w:pPr>
        <w:tabs>
          <w:tab w:val="left" w:pos="312"/>
        </w:tabs>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14"/>
    <w:rsid w:val="00005951"/>
    <w:rsid w:val="00014C4C"/>
    <w:rsid w:val="00022E68"/>
    <w:rsid w:val="00026553"/>
    <w:rsid w:val="00037BF4"/>
    <w:rsid w:val="00042FFB"/>
    <w:rsid w:val="00057114"/>
    <w:rsid w:val="00090DFD"/>
    <w:rsid w:val="00097836"/>
    <w:rsid w:val="000A7F03"/>
    <w:rsid w:val="000B57B1"/>
    <w:rsid w:val="000C0EF8"/>
    <w:rsid w:val="0018228F"/>
    <w:rsid w:val="001960F0"/>
    <w:rsid w:val="001A25DD"/>
    <w:rsid w:val="001A6269"/>
    <w:rsid w:val="001C5D91"/>
    <w:rsid w:val="001F3D8A"/>
    <w:rsid w:val="001F5EC8"/>
    <w:rsid w:val="002004A7"/>
    <w:rsid w:val="00220DAB"/>
    <w:rsid w:val="00220FDA"/>
    <w:rsid w:val="002356A1"/>
    <w:rsid w:val="0025289D"/>
    <w:rsid w:val="0027490D"/>
    <w:rsid w:val="002A775D"/>
    <w:rsid w:val="002B3EFD"/>
    <w:rsid w:val="002C4B9D"/>
    <w:rsid w:val="002C77E7"/>
    <w:rsid w:val="002D24C5"/>
    <w:rsid w:val="00300BFE"/>
    <w:rsid w:val="003127FC"/>
    <w:rsid w:val="0031792B"/>
    <w:rsid w:val="00325F64"/>
    <w:rsid w:val="003423F8"/>
    <w:rsid w:val="0034754E"/>
    <w:rsid w:val="00350638"/>
    <w:rsid w:val="00362372"/>
    <w:rsid w:val="00363AEC"/>
    <w:rsid w:val="00381CED"/>
    <w:rsid w:val="00391201"/>
    <w:rsid w:val="003A16CF"/>
    <w:rsid w:val="003A4B53"/>
    <w:rsid w:val="003C1422"/>
    <w:rsid w:val="003D7D9C"/>
    <w:rsid w:val="003E2236"/>
    <w:rsid w:val="003E6674"/>
    <w:rsid w:val="003F0E7E"/>
    <w:rsid w:val="003F16E9"/>
    <w:rsid w:val="00433B05"/>
    <w:rsid w:val="004376C1"/>
    <w:rsid w:val="004822F0"/>
    <w:rsid w:val="004959D7"/>
    <w:rsid w:val="004A0501"/>
    <w:rsid w:val="004A20F0"/>
    <w:rsid w:val="004A28F6"/>
    <w:rsid w:val="004A4708"/>
    <w:rsid w:val="004A75DF"/>
    <w:rsid w:val="004B2D41"/>
    <w:rsid w:val="004E1614"/>
    <w:rsid w:val="004E2918"/>
    <w:rsid w:val="004F2040"/>
    <w:rsid w:val="00504CDD"/>
    <w:rsid w:val="00526F43"/>
    <w:rsid w:val="005368D1"/>
    <w:rsid w:val="005451F6"/>
    <w:rsid w:val="00546060"/>
    <w:rsid w:val="00561496"/>
    <w:rsid w:val="0056454A"/>
    <w:rsid w:val="00576C48"/>
    <w:rsid w:val="00582E18"/>
    <w:rsid w:val="005A4CA9"/>
    <w:rsid w:val="005A6EA4"/>
    <w:rsid w:val="005B109D"/>
    <w:rsid w:val="005C072A"/>
    <w:rsid w:val="005D093B"/>
    <w:rsid w:val="005D59EB"/>
    <w:rsid w:val="005E2E64"/>
    <w:rsid w:val="00621BBB"/>
    <w:rsid w:val="00643D39"/>
    <w:rsid w:val="0065450A"/>
    <w:rsid w:val="00663EE3"/>
    <w:rsid w:val="006742FD"/>
    <w:rsid w:val="006750FC"/>
    <w:rsid w:val="00680425"/>
    <w:rsid w:val="0068651D"/>
    <w:rsid w:val="006874A0"/>
    <w:rsid w:val="006C35FC"/>
    <w:rsid w:val="006D4290"/>
    <w:rsid w:val="006D53BA"/>
    <w:rsid w:val="007050F1"/>
    <w:rsid w:val="007078B0"/>
    <w:rsid w:val="007118E6"/>
    <w:rsid w:val="00712096"/>
    <w:rsid w:val="00714D78"/>
    <w:rsid w:val="00743B05"/>
    <w:rsid w:val="00753F47"/>
    <w:rsid w:val="007724E5"/>
    <w:rsid w:val="007865DC"/>
    <w:rsid w:val="007909C4"/>
    <w:rsid w:val="007B4D5B"/>
    <w:rsid w:val="007E3642"/>
    <w:rsid w:val="007E72D2"/>
    <w:rsid w:val="008235B1"/>
    <w:rsid w:val="008346B1"/>
    <w:rsid w:val="008353BC"/>
    <w:rsid w:val="0086201E"/>
    <w:rsid w:val="0086682F"/>
    <w:rsid w:val="008668D5"/>
    <w:rsid w:val="00867482"/>
    <w:rsid w:val="008720A9"/>
    <w:rsid w:val="00883B3E"/>
    <w:rsid w:val="008861D6"/>
    <w:rsid w:val="008B21F3"/>
    <w:rsid w:val="008B60BA"/>
    <w:rsid w:val="008C1EF5"/>
    <w:rsid w:val="008E12AE"/>
    <w:rsid w:val="008F0FB3"/>
    <w:rsid w:val="0093264E"/>
    <w:rsid w:val="009523CA"/>
    <w:rsid w:val="00955531"/>
    <w:rsid w:val="00967558"/>
    <w:rsid w:val="0096783F"/>
    <w:rsid w:val="00984104"/>
    <w:rsid w:val="0098460C"/>
    <w:rsid w:val="009B114B"/>
    <w:rsid w:val="009D7333"/>
    <w:rsid w:val="00A0037E"/>
    <w:rsid w:val="00A00662"/>
    <w:rsid w:val="00A00D0A"/>
    <w:rsid w:val="00A20396"/>
    <w:rsid w:val="00A31A41"/>
    <w:rsid w:val="00A35AE9"/>
    <w:rsid w:val="00A36460"/>
    <w:rsid w:val="00A452E0"/>
    <w:rsid w:val="00A530C2"/>
    <w:rsid w:val="00A613E0"/>
    <w:rsid w:val="00A70B67"/>
    <w:rsid w:val="00A7733A"/>
    <w:rsid w:val="00A858EC"/>
    <w:rsid w:val="00AB1EFF"/>
    <w:rsid w:val="00AB4638"/>
    <w:rsid w:val="00AD21BA"/>
    <w:rsid w:val="00AF79C8"/>
    <w:rsid w:val="00B05522"/>
    <w:rsid w:val="00B07882"/>
    <w:rsid w:val="00B1440D"/>
    <w:rsid w:val="00B153FF"/>
    <w:rsid w:val="00B24BCE"/>
    <w:rsid w:val="00B25CCA"/>
    <w:rsid w:val="00B33987"/>
    <w:rsid w:val="00B50F5B"/>
    <w:rsid w:val="00B55AC5"/>
    <w:rsid w:val="00B56D05"/>
    <w:rsid w:val="00B85A35"/>
    <w:rsid w:val="00B86134"/>
    <w:rsid w:val="00B86492"/>
    <w:rsid w:val="00BC7C01"/>
    <w:rsid w:val="00BE0403"/>
    <w:rsid w:val="00BE2A55"/>
    <w:rsid w:val="00BF4236"/>
    <w:rsid w:val="00C13DD1"/>
    <w:rsid w:val="00C1746A"/>
    <w:rsid w:val="00C20942"/>
    <w:rsid w:val="00C2105B"/>
    <w:rsid w:val="00C275BF"/>
    <w:rsid w:val="00C31A4E"/>
    <w:rsid w:val="00C40352"/>
    <w:rsid w:val="00C42FC9"/>
    <w:rsid w:val="00C833EC"/>
    <w:rsid w:val="00C87102"/>
    <w:rsid w:val="00C90B90"/>
    <w:rsid w:val="00CA6654"/>
    <w:rsid w:val="00CB2D09"/>
    <w:rsid w:val="00CB4206"/>
    <w:rsid w:val="00CB6FBB"/>
    <w:rsid w:val="00CC6643"/>
    <w:rsid w:val="00CE17B7"/>
    <w:rsid w:val="00CE60F6"/>
    <w:rsid w:val="00CF4152"/>
    <w:rsid w:val="00D01803"/>
    <w:rsid w:val="00D239EE"/>
    <w:rsid w:val="00D25441"/>
    <w:rsid w:val="00D26A4A"/>
    <w:rsid w:val="00D2708E"/>
    <w:rsid w:val="00D27984"/>
    <w:rsid w:val="00D27B13"/>
    <w:rsid w:val="00D3244B"/>
    <w:rsid w:val="00D63A76"/>
    <w:rsid w:val="00D65D63"/>
    <w:rsid w:val="00D66875"/>
    <w:rsid w:val="00D70A32"/>
    <w:rsid w:val="00D809AA"/>
    <w:rsid w:val="00D86DC5"/>
    <w:rsid w:val="00D92896"/>
    <w:rsid w:val="00DA0807"/>
    <w:rsid w:val="00DC3408"/>
    <w:rsid w:val="00DF0463"/>
    <w:rsid w:val="00DF47A7"/>
    <w:rsid w:val="00E168AB"/>
    <w:rsid w:val="00E359BC"/>
    <w:rsid w:val="00E50482"/>
    <w:rsid w:val="00E54BF8"/>
    <w:rsid w:val="00E6282B"/>
    <w:rsid w:val="00E7260E"/>
    <w:rsid w:val="00E92540"/>
    <w:rsid w:val="00E96890"/>
    <w:rsid w:val="00ED0C6D"/>
    <w:rsid w:val="00ED102F"/>
    <w:rsid w:val="00EF3254"/>
    <w:rsid w:val="00F06064"/>
    <w:rsid w:val="00F20DCD"/>
    <w:rsid w:val="00F31C8C"/>
    <w:rsid w:val="00F43084"/>
    <w:rsid w:val="00F748F0"/>
    <w:rsid w:val="00FC5FBB"/>
    <w:rsid w:val="00FC6D07"/>
    <w:rsid w:val="00FD2A3A"/>
    <w:rsid w:val="00FE5E16"/>
    <w:rsid w:val="20C6551C"/>
    <w:rsid w:val="6BD25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21"/>
      <w:szCs w:val="44"/>
    </w:rPr>
  </w:style>
  <w:style w:type="paragraph" w:styleId="3">
    <w:name w:val="heading 2"/>
    <w:basedOn w:val="1"/>
    <w:next w:val="1"/>
    <w:link w:val="20"/>
    <w:unhideWhenUsed/>
    <w:qFormat/>
    <w:uiPriority w:val="9"/>
    <w:pPr>
      <w:keepNext/>
      <w:keepLines/>
      <w:numPr>
        <w:ilvl w:val="0"/>
        <w:numId w:val="1"/>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21"/>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23"/>
    <w:unhideWhenUsed/>
    <w:qFormat/>
    <w:uiPriority w:val="9"/>
    <w:pPr>
      <w:keepNext/>
      <w:keepLines/>
      <w:spacing w:before="280" w:after="290" w:line="377" w:lineRule="auto"/>
      <w:ind w:firstLine="350" w:firstLineChars="350"/>
      <w:outlineLvl w:val="3"/>
    </w:pPr>
    <w:rPr>
      <w:rFonts w:eastAsia="黑体" w:asciiTheme="majorHAnsi" w:hAnsiTheme="majorHAnsi" w:cstheme="majorBidi"/>
      <w:b/>
      <w:bCs/>
      <w:sz w:val="21"/>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Date"/>
    <w:basedOn w:val="1"/>
    <w:next w:val="1"/>
    <w:link w:val="18"/>
    <w:semiHidden/>
    <w:unhideWhenUsed/>
    <w:uiPriority w:val="99"/>
    <w:pPr>
      <w:ind w:left="100" w:leftChars="2500"/>
    </w:pPr>
  </w:style>
  <w:style w:type="paragraph" w:styleId="7">
    <w:name w:val="Balloon Text"/>
    <w:basedOn w:val="1"/>
    <w:link w:val="22"/>
    <w:semiHidden/>
    <w:unhideWhenUsed/>
    <w:uiPriority w:val="99"/>
    <w:rPr>
      <w:szCs w:val="18"/>
    </w:rPr>
  </w:style>
  <w:style w:type="paragraph" w:styleId="8">
    <w:name w:val="footer"/>
    <w:basedOn w:val="1"/>
    <w:link w:val="16"/>
    <w:unhideWhenUsed/>
    <w:uiPriority w:val="99"/>
    <w:pPr>
      <w:tabs>
        <w:tab w:val="center" w:pos="4153"/>
        <w:tab w:val="right" w:pos="8306"/>
      </w:tabs>
      <w:snapToGrid w:val="0"/>
      <w:jc w:val="left"/>
    </w:pPr>
    <w:rPr>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Cs w:val="18"/>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9"/>
    <w:uiPriority w:val="99"/>
    <w:rPr>
      <w:sz w:val="18"/>
      <w:szCs w:val="18"/>
    </w:rPr>
  </w:style>
  <w:style w:type="character" w:customStyle="1" w:styleId="16">
    <w:name w:val="页脚 字符"/>
    <w:basedOn w:val="12"/>
    <w:link w:val="8"/>
    <w:uiPriority w:val="99"/>
    <w:rPr>
      <w:sz w:val="18"/>
      <w:szCs w:val="18"/>
    </w:rPr>
  </w:style>
  <w:style w:type="paragraph" w:styleId="17">
    <w:name w:val="List Paragraph"/>
    <w:basedOn w:val="1"/>
    <w:qFormat/>
    <w:uiPriority w:val="34"/>
    <w:pPr>
      <w:ind w:firstLine="420"/>
    </w:pPr>
  </w:style>
  <w:style w:type="character" w:customStyle="1" w:styleId="18">
    <w:name w:val="日期 字符"/>
    <w:basedOn w:val="12"/>
    <w:link w:val="6"/>
    <w:semiHidden/>
    <w:uiPriority w:val="99"/>
  </w:style>
  <w:style w:type="character" w:customStyle="1" w:styleId="19">
    <w:name w:val="标题 1 字符"/>
    <w:basedOn w:val="12"/>
    <w:link w:val="2"/>
    <w:uiPriority w:val="9"/>
    <w:rPr>
      <w:rFonts w:eastAsia="微软雅黑"/>
      <w:b/>
      <w:bCs/>
      <w:kern w:val="44"/>
      <w:szCs w:val="44"/>
    </w:rPr>
  </w:style>
  <w:style w:type="character" w:customStyle="1" w:styleId="20">
    <w:name w:val="标题 2 字符"/>
    <w:basedOn w:val="12"/>
    <w:link w:val="3"/>
    <w:uiPriority w:val="9"/>
    <w:rPr>
      <w:rFonts w:eastAsia="微软雅黑" w:asciiTheme="majorHAnsi" w:hAnsiTheme="majorHAnsi" w:cstheme="majorBidi"/>
      <w:b/>
      <w:bCs/>
      <w:szCs w:val="32"/>
    </w:rPr>
  </w:style>
  <w:style w:type="character" w:customStyle="1" w:styleId="21">
    <w:name w:val="标题 3 字符"/>
    <w:basedOn w:val="12"/>
    <w:link w:val="4"/>
    <w:uiPriority w:val="9"/>
    <w:rPr>
      <w:rFonts w:eastAsia="黑体"/>
      <w:b/>
      <w:bCs/>
      <w:szCs w:val="32"/>
    </w:rPr>
  </w:style>
  <w:style w:type="character" w:customStyle="1" w:styleId="22">
    <w:name w:val="批注框文本 字符"/>
    <w:basedOn w:val="12"/>
    <w:link w:val="7"/>
    <w:semiHidden/>
    <w:uiPriority w:val="99"/>
    <w:rPr>
      <w:sz w:val="18"/>
      <w:szCs w:val="18"/>
    </w:rPr>
  </w:style>
  <w:style w:type="character" w:customStyle="1" w:styleId="23">
    <w:name w:val="标题 4 字符"/>
    <w:basedOn w:val="12"/>
    <w:link w:val="5"/>
    <w:uiPriority w:val="9"/>
    <w:rPr>
      <w:rFonts w:eastAsia="黑体" w:asciiTheme="majorHAnsi" w:hAnsiTheme="majorHAnsi" w:cstheme="majorBidi"/>
      <w:b/>
      <w:bCs/>
      <w:szCs w:val="28"/>
    </w:rPr>
  </w:style>
  <w:style w:type="character" w:customStyle="1" w:styleId="24">
    <w:name w:val="apple-converted-space"/>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8.emf"/><Relationship Id="rId22" Type="http://schemas.openxmlformats.org/officeDocument/2006/relationships/oleObject" Target="embeddings/oleObject6.bin"/><Relationship Id="rId21" Type="http://schemas.openxmlformats.org/officeDocument/2006/relationships/image" Target="media/image7.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image" Target="media/image5.emf"/><Relationship Id="rId17" Type="http://schemas.openxmlformats.org/officeDocument/2006/relationships/oleObject" Target="embeddings/oleObject4.bin"/><Relationship Id="rId16" Type="http://schemas.openxmlformats.org/officeDocument/2006/relationships/image" Target="media/image4.e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FAB4D-4973-45A8-820A-217FE1A86D9D}">
  <ds:schemaRefs/>
</ds:datastoreItem>
</file>

<file path=docProps/app.xml><?xml version="1.0" encoding="utf-8"?>
<Properties xmlns="http://schemas.openxmlformats.org/officeDocument/2006/extended-properties" xmlns:vt="http://schemas.openxmlformats.org/officeDocument/2006/docPropsVTypes">
  <Template>Normal.dotm</Template>
  <Company>航旅纵横</Company>
  <Pages>5</Pages>
  <Words>253</Words>
  <Characters>1446</Characters>
  <Lines>12</Lines>
  <Paragraphs>3</Paragraphs>
  <TotalTime>48</TotalTime>
  <ScaleCrop>false</ScaleCrop>
  <LinksUpToDate>false</LinksUpToDate>
  <CharactersWithSpaces>1696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2018-04-04T08:04:00Z</dcterms:created>
  <dc:creator>张晶</dc:creator>
  <cp:lastModifiedBy>Nina</cp:lastModifiedBy>
  <dcterms:modified xsi:type="dcterms:W3CDTF">2020-04-29T04:08:20Z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