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37" w:rsidRDefault="00A914E4">
      <w:pPr>
        <w:ind w:right="560" w:firstLine="562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-46355</wp:posOffset>
                </wp:positionV>
                <wp:extent cx="396240" cy="387985"/>
                <wp:effectExtent l="0" t="0" r="22860" b="1206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798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537" w:rsidRDefault="001825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26" style="position:absolute;left:0;text-align:left;margin-left:380.45pt;margin-top:-3.65pt;width:31.2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" fillcolor="lime" strokecolor="windowText" strokeweight=".25pt">
                <v:textbox>
                  <w:txbxContent>
                    <w:p w:rsidR="00182537" w:rsidRDefault="0018253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2020</w:t>
      </w:r>
      <w:r>
        <w:rPr>
          <w:rFonts w:hint="eastAsia"/>
          <w:b/>
          <w:bCs/>
          <w:sz w:val="28"/>
          <w:szCs w:val="28"/>
        </w:rPr>
        <w:t>年第</w:t>
      </w:r>
      <w:r w:rsidR="001809B3"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季度</w:t>
      </w:r>
    </w:p>
    <w:p w:rsidR="00182537" w:rsidRDefault="00182537"/>
    <w:p w:rsidR="00182537" w:rsidRDefault="00182537"/>
    <w:p w:rsidR="00182537" w:rsidRDefault="00182537"/>
    <w:p w:rsidR="00182537" w:rsidRDefault="00182537"/>
    <w:p w:rsidR="00182537" w:rsidRDefault="00A914E4">
      <w:pPr>
        <w:pStyle w:val="1"/>
        <w:ind w:firstLineChars="0" w:firstLine="0"/>
      </w:pPr>
      <w:r>
        <w:t>生产建设项目水土保持监测季度报告表</w:t>
      </w:r>
    </w:p>
    <w:p w:rsidR="00182537" w:rsidRDefault="00182537"/>
    <w:p w:rsidR="00182537" w:rsidRDefault="00182537"/>
    <w:p w:rsidR="00182537" w:rsidRDefault="00182537"/>
    <w:p w:rsidR="00182537" w:rsidRDefault="00182537"/>
    <w:p w:rsidR="00182537" w:rsidRDefault="00182537"/>
    <w:p w:rsidR="00182537" w:rsidRDefault="00182537"/>
    <w:p w:rsidR="00182537" w:rsidRDefault="00182537"/>
    <w:p w:rsidR="00182537" w:rsidRDefault="00A914E4">
      <w:pPr>
        <w:ind w:firstLine="641"/>
        <w:rPr>
          <w:rFonts w:ascii="华文楷体" w:eastAsia="华文楷体" w:hAnsi="华文楷体"/>
          <w:b/>
          <w:bCs/>
          <w:spacing w:val="-30"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国道嘉荫至临江公路（G</w:t>
      </w:r>
      <w:r>
        <w:rPr>
          <w:rFonts w:ascii="华文楷体" w:eastAsia="华文楷体" w:hAnsi="华文楷体"/>
          <w:b/>
          <w:bCs/>
          <w:sz w:val="32"/>
          <w:szCs w:val="32"/>
        </w:rPr>
        <w:t>222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）靖宇至江源段建设项目（江源段）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白山市交通投资集团有限公司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1809B3"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日—2020年</w:t>
      </w:r>
      <w:r w:rsidR="001809B3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月3</w:t>
      </w:r>
      <w:r w:rsidR="001809B3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监测人员：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包权、刘双宇</w:t>
      </w:r>
    </w:p>
    <w:p w:rsidR="00182537" w:rsidRDefault="00A914E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1809B3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1809B3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182537" w:rsidRDefault="00182537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</w:p>
    <w:p w:rsidR="00182537" w:rsidRDefault="00182537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</w:p>
    <w:p w:rsidR="00182537" w:rsidRDefault="00182537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  <w:sectPr w:rsidR="00182537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182537" w:rsidRDefault="00A914E4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lastRenderedPageBreak/>
        <w:t>生产建设项目</w:t>
      </w:r>
      <w:bookmarkStart w:id="0" w:name="_Hlk40641664"/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水土保持监测</w:t>
      </w:r>
      <w:bookmarkEnd w:id="0"/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季度报告表</w:t>
      </w:r>
    </w:p>
    <w:p w:rsidR="00182537" w:rsidRDefault="00A914E4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  <w:r>
        <w:rPr>
          <w:rFonts w:ascii="Times New Roman" w:eastAsia="仿宋" w:hAnsi="Times New Roman" w:hint="eastAsia"/>
          <w:b/>
          <w:sz w:val="18"/>
          <w:szCs w:val="21"/>
        </w:rPr>
        <w:t>监测时段：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 xml:space="preserve"> 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2020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年</w:t>
      </w:r>
      <w:r w:rsidR="001C3926">
        <w:rPr>
          <w:rFonts w:ascii="Times New Roman" w:eastAsia="仿宋" w:hAnsi="Times New Roman" w:hint="eastAsia"/>
          <w:b/>
          <w:sz w:val="18"/>
          <w:szCs w:val="21"/>
          <w:u w:val="single"/>
        </w:rPr>
        <w:t>10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月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1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日至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2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020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年</w:t>
      </w:r>
      <w:r w:rsidR="001C3926">
        <w:rPr>
          <w:rFonts w:ascii="Times New Roman" w:eastAsia="仿宋" w:hAnsi="Times New Roman" w:hint="eastAsia"/>
          <w:b/>
          <w:sz w:val="18"/>
          <w:szCs w:val="21"/>
          <w:u w:val="single"/>
        </w:rPr>
        <w:t>12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月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3</w:t>
      </w:r>
      <w:r w:rsidR="001C3926">
        <w:rPr>
          <w:rFonts w:ascii="Times New Roman" w:eastAsia="仿宋" w:hAnsi="Times New Roman" w:hint="eastAsia"/>
          <w:b/>
          <w:sz w:val="18"/>
          <w:szCs w:val="21"/>
          <w:u w:val="single"/>
        </w:rPr>
        <w:t>1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日</w:t>
      </w:r>
    </w:p>
    <w:tbl>
      <w:tblPr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1248"/>
        <w:gridCol w:w="93"/>
        <w:gridCol w:w="657"/>
        <w:gridCol w:w="482"/>
        <w:gridCol w:w="141"/>
        <w:gridCol w:w="2126"/>
        <w:gridCol w:w="600"/>
        <w:gridCol w:w="532"/>
        <w:gridCol w:w="1051"/>
        <w:gridCol w:w="1360"/>
      </w:tblGrid>
      <w:tr w:rsidR="002C5C4C" w:rsidRPr="002C5C4C" w:rsidTr="001809B3">
        <w:trPr>
          <w:trHeight w:val="629"/>
        </w:trPr>
        <w:tc>
          <w:tcPr>
            <w:tcW w:w="158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项目名称</w:t>
            </w:r>
          </w:p>
        </w:tc>
        <w:tc>
          <w:tcPr>
            <w:tcW w:w="3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国道嘉荫至临江公路（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G222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）靖宇至江源段建设项目（江源段）</w:t>
            </w:r>
          </w:p>
        </w:tc>
      </w:tr>
      <w:tr w:rsidR="002C5C4C" w:rsidRPr="002C5C4C" w:rsidTr="001809B3">
        <w:trPr>
          <w:trHeight w:val="677"/>
        </w:trPr>
        <w:tc>
          <w:tcPr>
            <w:tcW w:w="75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建设单位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联系人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及电话</w:t>
            </w:r>
          </w:p>
        </w:tc>
        <w:tc>
          <w:tcPr>
            <w:tcW w:w="828" w:type="pct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教言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18643908399</w:t>
            </w:r>
          </w:p>
        </w:tc>
        <w:tc>
          <w:tcPr>
            <w:tcW w:w="1644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监测项目负责人（签字）：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年</w:t>
            </w:r>
            <w:r w:rsidRPr="002C5C4C">
              <w:rPr>
                <w:rFonts w:ascii="Times New Roman" w:eastAsia="仿宋" w:hAnsi="Times New Roman"/>
                <w:szCs w:val="21"/>
              </w:rPr>
              <w:t xml:space="preserve">  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Pr="002C5C4C">
              <w:rPr>
                <w:rFonts w:ascii="Times New Roman" w:eastAsia="仿宋" w:hAnsi="Times New Roman"/>
                <w:szCs w:val="21"/>
              </w:rPr>
              <w:t>月</w:t>
            </w:r>
            <w:r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Pr="002C5C4C">
              <w:rPr>
                <w:rFonts w:ascii="Times New Roman" w:eastAsia="仿宋" w:hAnsi="Times New Roman"/>
                <w:szCs w:val="21"/>
              </w:rPr>
              <w:t xml:space="preserve"> </w:t>
            </w:r>
            <w:r w:rsidRPr="002C5C4C">
              <w:rPr>
                <w:rFonts w:ascii="Times New Roman" w:eastAsia="仿宋" w:hAnsi="Times New Roman"/>
                <w:szCs w:val="21"/>
              </w:rPr>
              <w:t>日</w:t>
            </w:r>
          </w:p>
        </w:tc>
        <w:tc>
          <w:tcPr>
            <w:tcW w:w="1775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生产建设单位（盖章）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632" w:firstLine="132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年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Pr="002C5C4C">
              <w:rPr>
                <w:rFonts w:ascii="Times New Roman" w:eastAsia="仿宋" w:hAnsi="Times New Roman"/>
                <w:szCs w:val="21"/>
              </w:rPr>
              <w:t xml:space="preserve">  </w:t>
            </w:r>
            <w:r w:rsidRPr="002C5C4C">
              <w:rPr>
                <w:rFonts w:ascii="Times New Roman" w:eastAsia="仿宋" w:hAnsi="Times New Roman"/>
                <w:szCs w:val="21"/>
              </w:rPr>
              <w:t>月</w:t>
            </w:r>
            <w:r w:rsidRPr="002C5C4C">
              <w:rPr>
                <w:rFonts w:ascii="Times New Roman" w:eastAsia="仿宋" w:hAnsi="Times New Roman"/>
                <w:szCs w:val="21"/>
              </w:rPr>
              <w:t xml:space="preserve">  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Pr="002C5C4C">
              <w:rPr>
                <w:rFonts w:ascii="Times New Roman" w:eastAsia="仿宋" w:hAnsi="Times New Roman"/>
                <w:szCs w:val="21"/>
              </w:rPr>
              <w:t>日</w:t>
            </w:r>
          </w:p>
        </w:tc>
      </w:tr>
      <w:tr w:rsidR="002C5C4C" w:rsidRPr="002C5C4C" w:rsidTr="001809B3">
        <w:trPr>
          <w:trHeight w:val="537"/>
        </w:trPr>
        <w:tc>
          <w:tcPr>
            <w:tcW w:w="7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填表人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及电话</w:t>
            </w:r>
          </w:p>
        </w:tc>
        <w:tc>
          <w:tcPr>
            <w:tcW w:w="828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刘双宇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15504442477</w:t>
            </w:r>
          </w:p>
        </w:tc>
        <w:tc>
          <w:tcPr>
            <w:tcW w:w="164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="292"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77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2C5C4C" w:rsidRPr="002C5C4C" w:rsidTr="001809B3">
        <w:trPr>
          <w:trHeight w:val="766"/>
        </w:trPr>
        <w:tc>
          <w:tcPr>
            <w:tcW w:w="1581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主体工程进度</w:t>
            </w:r>
          </w:p>
        </w:tc>
        <w:tc>
          <w:tcPr>
            <w:tcW w:w="3419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09B3" w:rsidRPr="001809B3" w:rsidRDefault="001809B3" w:rsidP="001809B3">
            <w:pPr>
              <w:ind w:firstLineChars="200" w:firstLine="420"/>
              <w:jc w:val="left"/>
              <w:rPr>
                <w:rFonts w:ascii="Times New Roman" w:eastAsia="仿宋" w:hAnsi="Times New Roman" w:cs="Times New Roman"/>
                <w:kern w:val="0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本季度内，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路基工程完成挖土方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14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万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m</w:t>
            </w:r>
            <w:r w:rsidRPr="001809B3">
              <w:rPr>
                <w:rFonts w:ascii="Times New Roman" w:eastAsia="仿宋" w:hAnsi="Times New Roman" w:cs="Times New Roman"/>
                <w:kern w:val="0"/>
                <w:szCs w:val="24"/>
              </w:rPr>
              <w:t>³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；填方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9.3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万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m</w:t>
            </w:r>
            <w:r w:rsidRPr="001809B3">
              <w:rPr>
                <w:rFonts w:ascii="Times New Roman" w:eastAsia="仿宋" w:hAnsi="Times New Roman" w:cs="Times New Roman"/>
                <w:kern w:val="0"/>
                <w:szCs w:val="24"/>
              </w:rPr>
              <w:t>³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，防护挡墙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5248m</w:t>
            </w:r>
            <w:r w:rsidRPr="001809B3">
              <w:rPr>
                <w:rFonts w:ascii="宋体" w:eastAsia="宋体" w:hAnsi="宋体" w:cs="宋体" w:hint="eastAsia"/>
                <w:kern w:val="0"/>
                <w:szCs w:val="24"/>
              </w:rPr>
              <w:t>³</w:t>
            </w:r>
            <w:r w:rsidRPr="001809B3">
              <w:rPr>
                <w:rFonts w:ascii="仿宋" w:eastAsia="仿宋" w:hAnsi="仿宋" w:cs="仿宋" w:hint="eastAsia"/>
                <w:kern w:val="0"/>
                <w:szCs w:val="24"/>
              </w:rPr>
              <w:t>，浆砌边沟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6303.3m</w:t>
            </w:r>
            <w:r w:rsidRPr="001809B3">
              <w:rPr>
                <w:rFonts w:ascii="宋体" w:eastAsia="宋体" w:hAnsi="宋体" w:cs="宋体" w:hint="eastAsia"/>
                <w:kern w:val="0"/>
                <w:szCs w:val="24"/>
              </w:rPr>
              <w:t>³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。</w:t>
            </w:r>
          </w:p>
          <w:p w:rsidR="002C5C4C" w:rsidRPr="002C5C4C" w:rsidRDefault="001809B3" w:rsidP="001809B3">
            <w:pPr>
              <w:ind w:firstLineChars="200" w:firstLine="420"/>
              <w:jc w:val="left"/>
              <w:rPr>
                <w:rFonts w:ascii="Times New Roman" w:eastAsia="仿宋" w:hAnsi="Times New Roman" w:cs="Times New Roman"/>
                <w:kern w:val="0"/>
                <w:szCs w:val="24"/>
              </w:rPr>
            </w:pP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桥梁工程完成空心板梁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7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片；涵洞工程完成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29.7m</w:t>
            </w: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2C5C4C" w:rsidRPr="002C5C4C" w:rsidTr="001809B3">
        <w:trPr>
          <w:cantSplit/>
          <w:trHeight w:val="295"/>
        </w:trPr>
        <w:tc>
          <w:tcPr>
            <w:tcW w:w="2863" w:type="pct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指</w:t>
            </w:r>
            <w:r w:rsidRPr="002C5C4C">
              <w:rPr>
                <w:rFonts w:ascii="Times New Roman" w:eastAsia="仿宋" w:hAnsi="Times New Roman"/>
                <w:szCs w:val="21"/>
              </w:rPr>
              <w:t xml:space="preserve">  </w:t>
            </w:r>
            <w:r w:rsidRPr="002C5C4C">
              <w:rPr>
                <w:rFonts w:ascii="Times New Roman" w:eastAsia="仿宋" w:hAnsi="Times New Roman"/>
                <w:szCs w:val="21"/>
              </w:rPr>
              <w:t>标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设计总量</w:t>
            </w:r>
          </w:p>
        </w:tc>
        <w:tc>
          <w:tcPr>
            <w:tcW w:w="6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56" w:left="18" w:rightChars="-51" w:right="-107" w:hangingChars="65" w:hanging="136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本季度</w:t>
            </w:r>
          </w:p>
        </w:tc>
        <w:tc>
          <w:tcPr>
            <w:tcW w:w="82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累计</w:t>
            </w:r>
          </w:p>
        </w:tc>
      </w:tr>
      <w:tr w:rsidR="001809B3" w:rsidRPr="002C5C4C" w:rsidTr="001809B3">
        <w:trPr>
          <w:cantSplit/>
          <w:trHeight w:val="431"/>
        </w:trPr>
        <w:tc>
          <w:tcPr>
            <w:tcW w:w="1496" w:type="pct"/>
            <w:gridSpan w:val="4"/>
            <w:vMerge w:val="restart"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扰动土地面积</w:t>
            </w:r>
          </w:p>
          <w:p w:rsidR="001809B3" w:rsidRPr="002C5C4C" w:rsidRDefault="001809B3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（</w:t>
            </w:r>
            <w:r w:rsidRPr="002C5C4C">
              <w:rPr>
                <w:rFonts w:ascii="Times New Roman" w:eastAsia="仿宋" w:hAnsi="Times New Roman"/>
                <w:szCs w:val="21"/>
              </w:rPr>
              <w:t>hm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2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1809B3" w:rsidRPr="002C5C4C" w:rsidRDefault="001809B3" w:rsidP="001809B3">
            <w:pPr>
              <w:widowControl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合计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51.09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1809B3" w:rsidRDefault="004025BD" w:rsidP="00B60E6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1.35</w:t>
            </w:r>
          </w:p>
        </w:tc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809B3" w:rsidRDefault="004025BD" w:rsidP="004025B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49.71</w:t>
            </w:r>
          </w:p>
        </w:tc>
      </w:tr>
      <w:tr w:rsidR="001809B3" w:rsidRPr="002C5C4C" w:rsidTr="001809B3">
        <w:trPr>
          <w:cantSplit/>
          <w:trHeight w:val="409"/>
        </w:trPr>
        <w:tc>
          <w:tcPr>
            <w:tcW w:w="1496" w:type="pct"/>
            <w:gridSpan w:val="4"/>
            <w:vMerge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1809B3" w:rsidRPr="001809B3" w:rsidRDefault="001809B3" w:rsidP="001809B3">
            <w:pPr>
              <w:jc w:val="center"/>
              <w:rPr>
                <w:rFonts w:ascii="Times New Roman" w:eastAsia="仿宋" w:hAnsi="Times New Roman" w:cs="Times New Roman"/>
                <w:kern w:val="0"/>
                <w:szCs w:val="24"/>
              </w:rPr>
            </w:pP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线路区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49.36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1809B3" w:rsidRDefault="004025BD" w:rsidP="00B60E60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1.35</w:t>
            </w:r>
          </w:p>
        </w:tc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809B3" w:rsidRDefault="004025BD" w:rsidP="004025BD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48.64</w:t>
            </w:r>
          </w:p>
        </w:tc>
      </w:tr>
      <w:tr w:rsidR="001809B3" w:rsidRPr="002C5C4C" w:rsidTr="001809B3">
        <w:trPr>
          <w:cantSplit/>
          <w:trHeight w:val="414"/>
        </w:trPr>
        <w:tc>
          <w:tcPr>
            <w:tcW w:w="1496" w:type="pct"/>
            <w:gridSpan w:val="4"/>
            <w:vMerge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1809B3" w:rsidRPr="001809B3" w:rsidRDefault="001809B3" w:rsidP="001809B3">
            <w:pPr>
              <w:jc w:val="center"/>
              <w:rPr>
                <w:rFonts w:ascii="Times New Roman" w:eastAsia="仿宋" w:hAnsi="Times New Roman" w:cs="Times New Roman"/>
                <w:kern w:val="0"/>
                <w:szCs w:val="24"/>
              </w:rPr>
            </w:pP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弃土场区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0.17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1809B3" w:rsidRDefault="004025BD" w:rsidP="00B60E60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809B3" w:rsidRDefault="004025BD" w:rsidP="00B60E60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0.17</w:t>
            </w:r>
          </w:p>
        </w:tc>
      </w:tr>
      <w:tr w:rsidR="001809B3" w:rsidRPr="002C5C4C" w:rsidTr="001809B3">
        <w:trPr>
          <w:cantSplit/>
          <w:trHeight w:val="421"/>
        </w:trPr>
        <w:tc>
          <w:tcPr>
            <w:tcW w:w="1496" w:type="pct"/>
            <w:gridSpan w:val="4"/>
            <w:vMerge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367" w:type="pct"/>
            <w:gridSpan w:val="2"/>
            <w:shd w:val="clear" w:color="auto" w:fill="auto"/>
            <w:vAlign w:val="center"/>
          </w:tcPr>
          <w:p w:rsidR="001809B3" w:rsidRPr="001809B3" w:rsidRDefault="001809B3" w:rsidP="001809B3">
            <w:pPr>
              <w:jc w:val="center"/>
              <w:rPr>
                <w:rFonts w:ascii="Times New Roman" w:eastAsia="仿宋" w:hAnsi="Times New Roman" w:cs="Times New Roman"/>
                <w:kern w:val="0"/>
                <w:szCs w:val="24"/>
              </w:rPr>
            </w:pPr>
            <w:r w:rsidRPr="001809B3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施工便道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1809B3" w:rsidRPr="002C5C4C" w:rsidRDefault="001809B3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1.58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1809B3" w:rsidRDefault="004025BD" w:rsidP="00B60E60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809B3" w:rsidRDefault="004025BD" w:rsidP="00B60E60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0.90</w:t>
            </w:r>
          </w:p>
        </w:tc>
      </w:tr>
      <w:tr w:rsidR="002C5C4C" w:rsidRPr="002C5C4C" w:rsidTr="001809B3">
        <w:trPr>
          <w:cantSplit/>
          <w:trHeight w:val="295"/>
        </w:trPr>
        <w:tc>
          <w:tcPr>
            <w:tcW w:w="2863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取土（石）场数量（</w:t>
            </w:r>
            <w:proofErr w:type="gramStart"/>
            <w:r w:rsidRPr="002C5C4C">
              <w:rPr>
                <w:rFonts w:ascii="Times New Roman" w:eastAsia="仿宋" w:hAnsi="Times New Roman"/>
                <w:szCs w:val="21"/>
              </w:rPr>
              <w:t>个</w:t>
            </w:r>
            <w:proofErr w:type="gramEnd"/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295"/>
        </w:trPr>
        <w:tc>
          <w:tcPr>
            <w:tcW w:w="2863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弃土（渣）场数量（</w:t>
            </w:r>
            <w:proofErr w:type="gramStart"/>
            <w:r w:rsidRPr="002C5C4C">
              <w:rPr>
                <w:rFonts w:ascii="Times New Roman" w:eastAsia="仿宋" w:hAnsi="Times New Roman"/>
                <w:szCs w:val="21"/>
              </w:rPr>
              <w:t>个</w:t>
            </w:r>
            <w:proofErr w:type="gramEnd"/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D86A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D86A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</w:t>
            </w:r>
          </w:p>
        </w:tc>
      </w:tr>
      <w:tr w:rsidR="002C5C4C" w:rsidRPr="002C5C4C" w:rsidTr="001809B3">
        <w:trPr>
          <w:cantSplit/>
          <w:trHeight w:val="295"/>
        </w:trPr>
        <w:tc>
          <w:tcPr>
            <w:tcW w:w="2863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取土（石）量（万</w:t>
            </w:r>
            <w:r w:rsidRPr="002C5C4C">
              <w:rPr>
                <w:rFonts w:ascii="Times New Roman" w:eastAsia="仿宋" w:hAnsi="Times New Roman"/>
                <w:szCs w:val="21"/>
              </w:rPr>
              <w:t>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295"/>
        </w:trPr>
        <w:tc>
          <w:tcPr>
            <w:tcW w:w="2863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弃土（渣）量（万</w:t>
            </w:r>
            <w:r w:rsidRPr="002C5C4C">
              <w:rPr>
                <w:rFonts w:ascii="Times New Roman" w:eastAsia="仿宋" w:hAnsi="Times New Roman"/>
                <w:szCs w:val="21"/>
              </w:rPr>
              <w:t>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14.50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Default="004025BD" w:rsidP="00B60E60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C5C4C" w:rsidRDefault="002C5C4C" w:rsidP="00B60E60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12</w:t>
            </w:r>
          </w:p>
        </w:tc>
      </w:tr>
      <w:tr w:rsidR="002C5C4C" w:rsidRPr="002C5C4C" w:rsidTr="001809B3">
        <w:trPr>
          <w:cantSplit/>
          <w:trHeight w:val="280"/>
        </w:trPr>
        <w:tc>
          <w:tcPr>
            <w:tcW w:w="809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弃土（渣）量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（万</w:t>
            </w:r>
            <w:r w:rsidRPr="002C5C4C">
              <w:rPr>
                <w:rFonts w:ascii="Times New Roman" w:eastAsia="仿宋" w:hAnsi="Times New Roman"/>
                <w:szCs w:val="21"/>
              </w:rPr>
              <w:t>m</w:t>
            </w:r>
            <w:r w:rsidRPr="002C5C4C"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2054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其它弃渣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054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拦渣率</w:t>
            </w:r>
            <w:r w:rsidRPr="002C5C4C">
              <w:rPr>
                <w:rFonts w:ascii="Times New Roman" w:eastAsia="仿宋" w:hAnsi="Times New Roman"/>
                <w:szCs w:val="21"/>
              </w:rPr>
              <w:t>(%)</w:t>
            </w:r>
          </w:p>
        </w:tc>
        <w:tc>
          <w:tcPr>
            <w:tcW w:w="68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95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295"/>
        </w:trPr>
        <w:tc>
          <w:tcPr>
            <w:tcW w:w="809" w:type="pct"/>
            <w:gridSpan w:val="2"/>
            <w:vMerge w:val="restar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水土保持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工程进度</w:t>
            </w: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工程措施</w:t>
            </w: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表土剥离（万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4.15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4025B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9E2641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cs="Times New Roman" w:hint="eastAsia"/>
                <w:szCs w:val="21"/>
              </w:rPr>
              <w:t>4.1</w:t>
            </w:r>
            <w:r w:rsidR="009E2641">
              <w:rPr>
                <w:rFonts w:ascii="Times New Roman" w:eastAsia="仿宋" w:hAnsi="Times New Roman" w:cs="Times New Roman" w:hint="eastAsia"/>
                <w:szCs w:val="21"/>
              </w:rPr>
              <w:t>5</w:t>
            </w:r>
          </w:p>
        </w:tc>
      </w:tr>
      <w:tr w:rsidR="002C5C4C" w:rsidRPr="002C5C4C" w:rsidTr="001809B3">
        <w:trPr>
          <w:cantSplit/>
          <w:trHeight w:val="323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表土回覆（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4.15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13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浆砌混凝土预制块边沟（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83.16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1C32C3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浆砌片石边沟（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18888.17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4025B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4025BD">
              <w:rPr>
                <w:rFonts w:ascii="Times New Roman" w:eastAsia="仿宋" w:hAnsi="Times New Roman"/>
                <w:szCs w:val="21"/>
              </w:rPr>
              <w:t>6303.3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4025B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10197.1</w:t>
            </w:r>
          </w:p>
        </w:tc>
      </w:tr>
      <w:tr w:rsidR="002C5C4C" w:rsidRPr="002C5C4C" w:rsidTr="001809B3">
        <w:trPr>
          <w:cantSplit/>
          <w:trHeight w:val="398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浆砌片石截水沟（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427.21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05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急流槽（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633.74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挡墙后渗（盲）沟（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970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渗（盲）沟（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1998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9E2641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1535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9E2641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1535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proofErr w:type="gramStart"/>
            <w:r w:rsidRPr="002C5C4C">
              <w:rPr>
                <w:rFonts w:ascii="Times New Roman" w:eastAsia="仿宋" w:hAnsi="Times New Roman" w:hint="eastAsia"/>
                <w:szCs w:val="21"/>
              </w:rPr>
              <w:t>叠拱护坡</w:t>
            </w:r>
            <w:proofErr w:type="gramEnd"/>
            <w:r w:rsidRPr="002C5C4C">
              <w:rPr>
                <w:rFonts w:ascii="Times New Roman" w:eastAsia="仿宋" w:hAnsi="Times New Roman" w:hint="eastAsia"/>
                <w:szCs w:val="21"/>
              </w:rPr>
              <w:t>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11780.38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浆砌片石护坡（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276.05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挡土墙（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61684.91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4025B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5248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9E2641" w:rsidP="004025BD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2</w:t>
            </w:r>
            <w:r w:rsidR="004025BD">
              <w:rPr>
                <w:rFonts w:ascii="Times New Roman" w:eastAsia="仿宋" w:hAnsi="Times New Roman" w:hint="eastAsia"/>
                <w:szCs w:val="21"/>
              </w:rPr>
              <w:t>6216.9</w:t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全面整地（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hm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2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 xml:space="preserve"> 13.84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15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植物措施</w:t>
            </w: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沿线绿化（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hm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2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13.84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15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穴状整地（</w:t>
            </w:r>
            <w:proofErr w:type="gramStart"/>
            <w:r w:rsidRPr="002C5C4C">
              <w:rPr>
                <w:rFonts w:ascii="Times New Roman" w:eastAsia="仿宋" w:hAnsi="Times New Roman" w:hint="eastAsia"/>
                <w:szCs w:val="21"/>
              </w:rPr>
              <w:t>个</w:t>
            </w:r>
            <w:proofErr w:type="gramEnd"/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529224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cs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15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种草（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hm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2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13.84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265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栽植灌木（株）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527603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23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栽植乔木（株）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1621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27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临时措施</w:t>
            </w: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编织袋挡墙（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1884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4025B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9E2641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1294.5</w:t>
            </w:r>
          </w:p>
        </w:tc>
      </w:tr>
      <w:tr w:rsidR="002C5C4C" w:rsidRPr="002C5C4C" w:rsidTr="001809B3">
        <w:trPr>
          <w:cantSplit/>
          <w:trHeight w:val="427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编织袋拆除（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1884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2C5C4C" w:rsidRPr="002C5C4C" w:rsidTr="001809B3">
        <w:trPr>
          <w:cantSplit/>
          <w:trHeight w:val="431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苫布覆盖（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2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1250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4025BD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9E2641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1111</w:t>
            </w:r>
          </w:p>
        </w:tc>
      </w:tr>
      <w:tr w:rsidR="002C5C4C" w:rsidRPr="002C5C4C" w:rsidTr="001809B3">
        <w:trPr>
          <w:cantSplit/>
          <w:trHeight w:val="421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3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土质排水沟（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m</w:t>
            </w:r>
            <w:r w:rsidRPr="002C5C4C">
              <w:rPr>
                <w:rFonts w:ascii="Times New Roman" w:eastAsia="仿宋" w:hAnsi="Times New Roman" w:hint="eastAsia"/>
                <w:szCs w:val="21"/>
                <w:vertAlign w:val="superscript"/>
              </w:rPr>
              <w:t>3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）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1677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2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6</w:t>
            </w:r>
            <w:r w:rsidRPr="002C5C4C">
              <w:rPr>
                <w:rFonts w:ascii="Times New Roman" w:eastAsia="仿宋" w:hAnsi="Times New Roman"/>
                <w:szCs w:val="21"/>
              </w:rPr>
              <w:t>24</w:t>
            </w:r>
          </w:p>
        </w:tc>
      </w:tr>
      <w:tr w:rsidR="002C5C4C" w:rsidRPr="002C5C4C" w:rsidTr="001809B3">
        <w:trPr>
          <w:cantSplit/>
          <w:trHeight w:val="442"/>
        </w:trPr>
        <w:tc>
          <w:tcPr>
            <w:tcW w:w="809" w:type="pct"/>
            <w:gridSpan w:val="2"/>
            <w:vMerge w:val="restar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水土流失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影响因子</w:t>
            </w:r>
          </w:p>
        </w:tc>
        <w:tc>
          <w:tcPr>
            <w:tcW w:w="2054" w:type="pct"/>
            <w:gridSpan w:val="4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/>
                <w:szCs w:val="21"/>
              </w:rPr>
              <w:t>降雨量</w:t>
            </w:r>
            <w:r w:rsidRPr="002C5C4C">
              <w:rPr>
                <w:rFonts w:eastAsia="仿宋"/>
                <w:szCs w:val="21"/>
              </w:rPr>
              <w:t>(mm)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 w:hint="eastAsia"/>
                <w:szCs w:val="21"/>
              </w:rPr>
              <w:t>——</w:t>
            </w:r>
          </w:p>
        </w:tc>
        <w:tc>
          <w:tcPr>
            <w:tcW w:w="634" w:type="pct"/>
            <w:shd w:val="clear" w:color="auto" w:fill="auto"/>
          </w:tcPr>
          <w:p w:rsidR="002C5C4C" w:rsidRPr="002C5C4C" w:rsidRDefault="00FE5CFE" w:rsidP="002C5C4C">
            <w:pPr>
              <w:snapToGrid w:val="0"/>
              <w:spacing w:beforeLines="50" w:before="156"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559</w:t>
            </w:r>
          </w:p>
        </w:tc>
        <w:tc>
          <w:tcPr>
            <w:tcW w:w="820" w:type="pct"/>
            <w:shd w:val="clear" w:color="auto" w:fill="auto"/>
          </w:tcPr>
          <w:p w:rsidR="002C5C4C" w:rsidRPr="002C5C4C" w:rsidRDefault="00FE5CFE" w:rsidP="002C5C4C">
            <w:pPr>
              <w:snapToGrid w:val="0"/>
              <w:spacing w:beforeLines="50" w:before="156"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559</w:t>
            </w:r>
          </w:p>
        </w:tc>
      </w:tr>
      <w:tr w:rsidR="002C5C4C" w:rsidRPr="002C5C4C" w:rsidTr="001809B3">
        <w:trPr>
          <w:cantSplit/>
          <w:trHeight w:val="463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054" w:type="pct"/>
            <w:gridSpan w:val="4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/>
                <w:szCs w:val="21"/>
              </w:rPr>
              <w:t>最大</w:t>
            </w:r>
            <w:r w:rsidRPr="002C5C4C">
              <w:rPr>
                <w:rFonts w:eastAsia="仿宋"/>
                <w:szCs w:val="21"/>
              </w:rPr>
              <w:t>24</w:t>
            </w:r>
            <w:r w:rsidRPr="002C5C4C">
              <w:rPr>
                <w:rFonts w:eastAsia="仿宋"/>
                <w:szCs w:val="21"/>
              </w:rPr>
              <w:t>小时降雨</w:t>
            </w:r>
            <w:r w:rsidRPr="002C5C4C">
              <w:rPr>
                <w:rFonts w:eastAsia="仿宋"/>
                <w:szCs w:val="21"/>
              </w:rPr>
              <w:t>(mm)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 w:hint="eastAsia"/>
                <w:szCs w:val="21"/>
              </w:rPr>
              <w:t>——</w:t>
            </w:r>
          </w:p>
        </w:tc>
        <w:tc>
          <w:tcPr>
            <w:tcW w:w="634" w:type="pct"/>
            <w:shd w:val="clear" w:color="auto" w:fill="auto"/>
          </w:tcPr>
          <w:p w:rsidR="002C5C4C" w:rsidRPr="002C5C4C" w:rsidRDefault="00FE5CFE" w:rsidP="002C5C4C">
            <w:pPr>
              <w:snapToGrid w:val="0"/>
              <w:spacing w:beforeLines="50" w:before="156"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65.5</w:t>
            </w:r>
          </w:p>
        </w:tc>
        <w:tc>
          <w:tcPr>
            <w:tcW w:w="820" w:type="pct"/>
            <w:shd w:val="clear" w:color="auto" w:fill="auto"/>
          </w:tcPr>
          <w:p w:rsidR="002C5C4C" w:rsidRPr="002C5C4C" w:rsidRDefault="00FE5CFE" w:rsidP="002C5C4C">
            <w:pPr>
              <w:snapToGrid w:val="0"/>
              <w:spacing w:beforeLines="50" w:before="156"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65.5</w:t>
            </w:r>
          </w:p>
        </w:tc>
      </w:tr>
      <w:tr w:rsidR="002C5C4C" w:rsidRPr="002C5C4C" w:rsidTr="001809B3">
        <w:trPr>
          <w:cantSplit/>
          <w:trHeight w:val="455"/>
        </w:trPr>
        <w:tc>
          <w:tcPr>
            <w:tcW w:w="809" w:type="pct"/>
            <w:gridSpan w:val="2"/>
            <w:vMerge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2054" w:type="pct"/>
            <w:gridSpan w:val="4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/>
                <w:szCs w:val="21"/>
              </w:rPr>
              <w:t>最大风速</w:t>
            </w:r>
            <w:r w:rsidRPr="002C5C4C">
              <w:rPr>
                <w:rFonts w:eastAsia="仿宋"/>
                <w:szCs w:val="21"/>
              </w:rPr>
              <w:t>(m/s)</w:t>
            </w:r>
          </w:p>
        </w:tc>
        <w:tc>
          <w:tcPr>
            <w:tcW w:w="683" w:type="pct"/>
            <w:gridSpan w:val="2"/>
            <w:shd w:val="clear" w:color="auto" w:fill="auto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eastAsia="仿宋" w:hint="eastAsia"/>
                <w:szCs w:val="21"/>
              </w:rPr>
              <w:t>——</w:t>
            </w:r>
          </w:p>
        </w:tc>
        <w:tc>
          <w:tcPr>
            <w:tcW w:w="634" w:type="pct"/>
            <w:shd w:val="clear" w:color="auto" w:fill="auto"/>
          </w:tcPr>
          <w:p w:rsidR="002C5C4C" w:rsidRPr="002C5C4C" w:rsidRDefault="00D86A4C" w:rsidP="00FE5CFE">
            <w:pPr>
              <w:snapToGrid w:val="0"/>
              <w:spacing w:beforeLines="50" w:before="156"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5.</w:t>
            </w:r>
            <w:r w:rsidR="00FE5CFE"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</w:p>
        </w:tc>
        <w:tc>
          <w:tcPr>
            <w:tcW w:w="820" w:type="pct"/>
            <w:shd w:val="clear" w:color="auto" w:fill="auto"/>
          </w:tcPr>
          <w:p w:rsidR="002C5C4C" w:rsidRPr="002C5C4C" w:rsidRDefault="00D86A4C" w:rsidP="00FE5CFE">
            <w:pPr>
              <w:snapToGrid w:val="0"/>
              <w:spacing w:beforeLines="50" w:before="156"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5.</w:t>
            </w:r>
            <w:r w:rsidR="00FE5CFE"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</w:p>
        </w:tc>
      </w:tr>
      <w:tr w:rsidR="002C5C4C" w:rsidRPr="002C5C4C" w:rsidTr="001809B3">
        <w:trPr>
          <w:cantSplit/>
          <w:trHeight w:val="419"/>
        </w:trPr>
        <w:tc>
          <w:tcPr>
            <w:tcW w:w="2863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水土流失量（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t</w:t>
            </w:r>
            <w:r w:rsidRPr="002C5C4C"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9080.76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2C5C4C" w:rsidRPr="002C5C4C" w:rsidRDefault="0039681E" w:rsidP="002C5C4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13.60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C5C4C" w:rsidRPr="002C5C4C" w:rsidRDefault="00D86A4C" w:rsidP="0039681E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4</w:t>
            </w:r>
            <w:r w:rsidR="0039681E">
              <w:rPr>
                <w:rFonts w:ascii="Times New Roman" w:eastAsia="仿宋" w:hAnsi="Times New Roman" w:cs="Times New Roman" w:hint="eastAsia"/>
                <w:szCs w:val="21"/>
              </w:rPr>
              <w:t>663.43</w:t>
            </w:r>
          </w:p>
        </w:tc>
      </w:tr>
      <w:tr w:rsidR="002C5C4C" w:rsidRPr="002C5C4C" w:rsidTr="001809B3">
        <w:trPr>
          <w:cantSplit/>
          <w:trHeight w:val="261"/>
        </w:trPr>
        <w:tc>
          <w:tcPr>
            <w:tcW w:w="2863" w:type="pct"/>
            <w:gridSpan w:val="6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 w:firstLineChars="98" w:firstLine="206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水土流失灾害事件</w:t>
            </w:r>
          </w:p>
        </w:tc>
        <w:tc>
          <w:tcPr>
            <w:tcW w:w="2137" w:type="pct"/>
            <w:gridSpan w:val="4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无</w:t>
            </w:r>
          </w:p>
        </w:tc>
      </w:tr>
      <w:tr w:rsidR="002C5C4C" w:rsidRPr="002C5C4C" w:rsidTr="00E85CE6">
        <w:trPr>
          <w:cantSplit/>
          <w:trHeight w:val="7345"/>
        </w:trPr>
        <w:tc>
          <w:tcPr>
            <w:tcW w:w="753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监测工作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开展情况</w:t>
            </w:r>
          </w:p>
        </w:tc>
        <w:tc>
          <w:tcPr>
            <w:tcW w:w="4247" w:type="pct"/>
            <w:gridSpan w:val="9"/>
            <w:shd w:val="clear" w:color="auto" w:fill="auto"/>
            <w:vAlign w:val="center"/>
          </w:tcPr>
          <w:p w:rsidR="002C5C4C" w:rsidRPr="002C5C4C" w:rsidRDefault="002C5C4C" w:rsidP="002C5C4C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2020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年</w:t>
            </w:r>
            <w:r w:rsidR="008047F2">
              <w:rPr>
                <w:rFonts w:ascii="Times New Roman" w:eastAsia="仿宋" w:hAnsi="Times New Roman" w:hint="eastAsia"/>
                <w:szCs w:val="21"/>
              </w:rPr>
              <w:t>11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月、</w:t>
            </w:r>
            <w:r w:rsidR="008047F2">
              <w:rPr>
                <w:rFonts w:ascii="Times New Roman" w:eastAsia="仿宋" w:hAnsi="Times New Roman" w:hint="eastAsia"/>
                <w:szCs w:val="21"/>
              </w:rPr>
              <w:t>12</w:t>
            </w:r>
            <w:r w:rsidRPr="002C5C4C">
              <w:rPr>
                <w:rFonts w:ascii="Times New Roman" w:eastAsia="仿宋" w:hAnsi="Times New Roman" w:hint="eastAsia"/>
                <w:szCs w:val="21"/>
              </w:rPr>
              <w:t>月，我公司进行现场踏勘监测，布设了水土保持监测点位，对项目区内防治责任范围进行了实地量测，对项目区内的情况进行了现场调查。</w:t>
            </w:r>
          </w:p>
          <w:p w:rsidR="00E85CE6" w:rsidRDefault="004025BD" w:rsidP="00E85CE6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 w:hint="eastAsia"/>
                <w:szCs w:val="21"/>
              </w:rPr>
            </w:pPr>
            <w:r w:rsidRPr="004025BD">
              <w:rPr>
                <w:rFonts w:ascii="Calibri" w:eastAsia="仿宋" w:hAnsi="Calibri" w:cs="Times New Roman" w:hint="eastAsia"/>
                <w:noProof/>
                <w:szCs w:val="21"/>
              </w:rPr>
              <w:drawing>
                <wp:inline distT="0" distB="0" distL="114300" distR="114300" wp14:anchorId="756C591F" wp14:editId="58A3F97D">
                  <wp:extent cx="4060055" cy="3045041"/>
                  <wp:effectExtent l="0" t="0" r="0" b="3175"/>
                  <wp:docPr id="1" name="图片 1" descr="429+600-429+666右幅L型梯形边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29+600-429+666右幅L型梯形边沟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770" cy="305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CE6" w:rsidRPr="002C5C4C" w:rsidRDefault="00E85CE6" w:rsidP="00E85CE6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/>
                <w:szCs w:val="21"/>
              </w:rPr>
            </w:pPr>
            <w:bookmarkStart w:id="1" w:name="_GoBack"/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4197423" cy="1939851"/>
                  <wp:effectExtent l="0" t="0" r="0" b="3810"/>
                  <wp:docPr id="5" name="图片 5" descr="F:\王杨洋\工作\2020年工作\2019未完成及2020新项目\水保及环评项目\国道嘉荫至临江公路（G222）靖宇至江源段\季报\2020.4季度\四季度现场照片\8b11b68f6af81000bd2e5d456bbce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王杨洋\工作\2020年工作\2019未完成及2020新项目\水保及环评项目\国道嘉荫至临江公路（G222）靖宇至江源段\季报\2020.4季度\四季度现场照片\8b11b68f6af81000bd2e5d456bbce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668" cy="194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2C5C4C" w:rsidRPr="002C5C4C" w:rsidTr="001809B3">
        <w:trPr>
          <w:cantSplit/>
          <w:trHeight w:val="156"/>
        </w:trPr>
        <w:tc>
          <w:tcPr>
            <w:tcW w:w="753" w:type="pct"/>
            <w:shd w:val="clear" w:color="auto" w:fill="auto"/>
            <w:vAlign w:val="center"/>
          </w:tcPr>
          <w:p w:rsidR="002C5C4C" w:rsidRPr="002C5C4C" w:rsidRDefault="004025BD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lastRenderedPageBreak/>
              <w:t>监测成果</w:t>
            </w:r>
          </w:p>
        </w:tc>
        <w:tc>
          <w:tcPr>
            <w:tcW w:w="4247" w:type="pct"/>
            <w:gridSpan w:val="9"/>
            <w:shd w:val="clear" w:color="auto" w:fill="auto"/>
            <w:vAlign w:val="center"/>
          </w:tcPr>
          <w:p w:rsidR="002C5C4C" w:rsidRDefault="00E85CE6" w:rsidP="00E85CE6">
            <w:pPr>
              <w:spacing w:line="362" w:lineRule="auto"/>
              <w:ind w:firstLineChars="50" w:firstLine="105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4282218" cy="1979720"/>
                  <wp:effectExtent l="0" t="0" r="4445" b="1905"/>
                  <wp:docPr id="2" name="图片 2" descr="F:\王杨洋\工作\2020年工作\2019未完成及2020新项目\水保及环评项目\国道嘉荫至临江公路（G222）靖宇至江源段\季报\2020.4季度\公示及项目部照片\41497cf361c21803e8438d6f1821ac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王杨洋\工作\2020年工作\2019未完成及2020新项目\水保及环评项目\国道嘉荫至临江公路（G222）靖宇至江源段\季报\2020.4季度\公示及项目部照片\41497cf361c21803e8438d6f1821ac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126" cy="198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6A4C" w:rsidRPr="002C5C4C" w:rsidRDefault="00E85CE6" w:rsidP="00E85CE6">
            <w:pPr>
              <w:spacing w:line="362" w:lineRule="auto"/>
              <w:ind w:firstLineChars="50" w:firstLine="105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4095370" cy="1890944"/>
                  <wp:effectExtent l="0" t="0" r="635" b="0"/>
                  <wp:docPr id="4" name="图片 4" descr="F:\王杨洋\工作\2020年工作\2019未完成及2020新项目\水保及环评项目\国道嘉荫至临江公路（G222）靖宇至江源段\季报\2020.4季度\公示及项目部照片\82524acfd58a97543cd44c1bd65cc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王杨洋\工作\2020年工作\2019未完成及2020新项目\水保及环评项目\国道嘉荫至临江公路（G222）靖宇至江源段\季报\2020.4季度\公示及项目部照片\82524acfd58a97543cd44c1bd65cc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370" cy="189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C4C" w:rsidRPr="002C5C4C" w:rsidTr="001809B3">
        <w:trPr>
          <w:cantSplit/>
          <w:trHeight w:val="156"/>
        </w:trPr>
        <w:tc>
          <w:tcPr>
            <w:tcW w:w="753" w:type="pct"/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存在问题</w:t>
            </w:r>
          </w:p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/>
                <w:szCs w:val="21"/>
              </w:rPr>
              <w:t>与建议</w:t>
            </w:r>
          </w:p>
        </w:tc>
        <w:tc>
          <w:tcPr>
            <w:tcW w:w="4247" w:type="pct"/>
            <w:gridSpan w:val="9"/>
            <w:shd w:val="clear" w:color="auto" w:fill="auto"/>
            <w:vAlign w:val="center"/>
          </w:tcPr>
          <w:p w:rsidR="002C5C4C" w:rsidRPr="002C5C4C" w:rsidRDefault="008047F2" w:rsidP="002C5C4C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/>
                <w:szCs w:val="21"/>
              </w:rPr>
            </w:pPr>
            <w:r w:rsidRPr="008047F2">
              <w:rPr>
                <w:rFonts w:ascii="Times New Roman" w:eastAsia="仿宋" w:hAnsi="Times New Roman" w:hint="eastAsia"/>
                <w:szCs w:val="21"/>
              </w:rPr>
              <w:t>因项目进入冬季，项目进程缓慢，各项水保设施建设部完善，建议建设单</w:t>
            </w:r>
            <w:r>
              <w:rPr>
                <w:rFonts w:ascii="Times New Roman" w:eastAsia="仿宋" w:hAnsi="Times New Roman" w:hint="eastAsia"/>
                <w:szCs w:val="21"/>
              </w:rPr>
              <w:t>位按照水土保持方案报告书要求完善水土保持临时措施，减少水土流失</w:t>
            </w:r>
            <w:r w:rsidR="002C5C4C" w:rsidRPr="002C5C4C">
              <w:rPr>
                <w:rFonts w:ascii="Times New Roman" w:eastAsia="仿宋" w:hAnsi="Times New Roman" w:hint="eastAsia"/>
                <w:szCs w:val="21"/>
              </w:rPr>
              <w:t>。</w:t>
            </w:r>
          </w:p>
        </w:tc>
      </w:tr>
      <w:tr w:rsidR="002C5C4C" w:rsidRPr="002C5C4C" w:rsidTr="001809B3">
        <w:trPr>
          <w:cantSplit/>
          <w:trHeight w:val="625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三</w:t>
            </w:r>
            <w:proofErr w:type="gramStart"/>
            <w:r w:rsidRPr="002C5C4C">
              <w:rPr>
                <w:rFonts w:ascii="Times New Roman" w:eastAsia="仿宋" w:hAnsi="Times New Roman" w:hint="eastAsia"/>
                <w:szCs w:val="21"/>
              </w:rPr>
              <w:t>色评价</w:t>
            </w:r>
            <w:proofErr w:type="gramEnd"/>
            <w:r w:rsidRPr="002C5C4C">
              <w:rPr>
                <w:rFonts w:ascii="Times New Roman" w:eastAsia="仿宋" w:hAnsi="Times New Roman" w:hint="eastAsia"/>
                <w:szCs w:val="21"/>
              </w:rPr>
              <w:t>结论</w:t>
            </w:r>
          </w:p>
        </w:tc>
        <w:tc>
          <w:tcPr>
            <w:tcW w:w="4247" w:type="pct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C4C" w:rsidRPr="002C5C4C" w:rsidRDefault="002C5C4C" w:rsidP="002C5C4C">
            <w:pPr>
              <w:spacing w:line="362" w:lineRule="auto"/>
              <w:ind w:firstLineChars="200" w:firstLine="420"/>
              <w:jc w:val="center"/>
              <w:rPr>
                <w:rFonts w:ascii="Times New Roman" w:eastAsia="仿宋" w:hAnsi="Times New Roman"/>
                <w:szCs w:val="21"/>
              </w:rPr>
            </w:pPr>
            <w:r w:rsidRPr="002C5C4C">
              <w:rPr>
                <w:rFonts w:ascii="Times New Roman" w:eastAsia="仿宋" w:hAnsi="Times New Roman" w:hint="eastAsia"/>
                <w:szCs w:val="21"/>
              </w:rPr>
              <w:t>绿色</w:t>
            </w:r>
          </w:p>
        </w:tc>
      </w:tr>
    </w:tbl>
    <w:p w:rsidR="002C5C4C" w:rsidRDefault="002C5C4C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</w:p>
    <w:p w:rsidR="002C5C4C" w:rsidRDefault="002C5C4C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 w:hint="eastAsia"/>
          <w:b/>
          <w:sz w:val="18"/>
          <w:szCs w:val="21"/>
          <w:u w:val="single"/>
        </w:rPr>
      </w:pPr>
    </w:p>
    <w:p w:rsidR="00E85CE6" w:rsidRDefault="00E85CE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</w:p>
    <w:p w:rsidR="0039681E" w:rsidRPr="0039681E" w:rsidRDefault="0039681E" w:rsidP="0039681E">
      <w:pPr>
        <w:snapToGrid w:val="0"/>
        <w:spacing w:beforeLines="50" w:before="156" w:line="480" w:lineRule="auto"/>
        <w:ind w:firstLineChars="200" w:firstLine="640"/>
        <w:outlineLvl w:val="0"/>
        <w:rPr>
          <w:rFonts w:ascii="Times New Roman" w:eastAsia="方正小标宋_GBK" w:hAnsi="Times New Roman" w:cs="方正小标宋_GBK"/>
          <w:bCs/>
          <w:color w:val="000000"/>
          <w:sz w:val="32"/>
          <w:szCs w:val="32"/>
        </w:rPr>
      </w:pPr>
      <w:r w:rsidRPr="0039681E">
        <w:rPr>
          <w:rFonts w:ascii="Times New Roman" w:eastAsia="方正小标宋_GBK" w:hAnsi="Times New Roman" w:cs="方正小标宋_GBK" w:hint="eastAsia"/>
          <w:bCs/>
          <w:color w:val="000000"/>
          <w:sz w:val="32"/>
          <w:szCs w:val="32"/>
        </w:rPr>
        <w:lastRenderedPageBreak/>
        <w:t>生产建设项目水土保持监测三</w:t>
      </w:r>
      <w:proofErr w:type="gramStart"/>
      <w:r w:rsidRPr="0039681E">
        <w:rPr>
          <w:rFonts w:ascii="Times New Roman" w:eastAsia="方正小标宋_GBK" w:hAnsi="Times New Roman" w:cs="方正小标宋_GBK" w:hint="eastAsia"/>
          <w:bCs/>
          <w:color w:val="000000"/>
          <w:sz w:val="32"/>
          <w:szCs w:val="32"/>
        </w:rPr>
        <w:t>色评价</w:t>
      </w:r>
      <w:proofErr w:type="gramEnd"/>
      <w:r w:rsidRPr="0039681E">
        <w:rPr>
          <w:rFonts w:ascii="Times New Roman" w:eastAsia="方正小标宋_GBK" w:hAnsi="Times New Roman" w:cs="方正小标宋_GBK" w:hint="eastAsia"/>
          <w:bCs/>
          <w:color w:val="000000"/>
          <w:sz w:val="32"/>
          <w:szCs w:val="32"/>
        </w:rPr>
        <w:t>指标及赋分表</w:t>
      </w:r>
    </w:p>
    <w:tbl>
      <w:tblPr>
        <w:tblW w:w="8738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17"/>
        <w:gridCol w:w="1584"/>
        <w:gridCol w:w="1153"/>
        <w:gridCol w:w="1014"/>
        <w:gridCol w:w="4170"/>
      </w:tblGrid>
      <w:tr w:rsidR="0039681E" w:rsidRPr="0039681E" w:rsidTr="0039681E">
        <w:trPr>
          <w:trHeight w:val="816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国道嘉荫至临江公路（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G222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）靖宇至江源段建设</w:t>
            </w:r>
          </w:p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项目（江源段）</w:t>
            </w:r>
          </w:p>
        </w:tc>
      </w:tr>
      <w:tr w:rsidR="0039681E" w:rsidRPr="0039681E" w:rsidTr="0039681E">
        <w:trPr>
          <w:cantSplit/>
          <w:trHeight w:val="816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监测时段</w:t>
            </w:r>
            <w:proofErr w:type="gramStart"/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和</w:t>
            </w:r>
            <w:proofErr w:type="gramEnd"/>
          </w:p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防治责任范围</w:t>
            </w:r>
          </w:p>
        </w:tc>
        <w:tc>
          <w:tcPr>
            <w:tcW w:w="6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   2020 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年第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>4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度，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49.71 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公顷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39681E" w:rsidRPr="0039681E" w:rsidTr="0039681E">
        <w:trPr>
          <w:cantSplit/>
          <w:trHeight w:val="816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三</w:t>
            </w:r>
            <w:proofErr w:type="gramStart"/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色评价</w:t>
            </w:r>
            <w:proofErr w:type="gramEnd"/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结论</w:t>
            </w:r>
          </w:p>
          <w:p w:rsidR="0039681E" w:rsidRPr="0039681E" w:rsidRDefault="0039681E" w:rsidP="0039681E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（勾选）</w:t>
            </w:r>
          </w:p>
        </w:tc>
        <w:tc>
          <w:tcPr>
            <w:tcW w:w="6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绿色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sym w:font="Wingdings 2" w:char="F052"/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黄色□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红色□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评价指标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分值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得分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proofErr w:type="gramStart"/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赋分说明</w:t>
            </w:r>
            <w:proofErr w:type="gramEnd"/>
          </w:p>
        </w:tc>
      </w:tr>
      <w:tr w:rsidR="0039681E" w:rsidRPr="0039681E" w:rsidTr="0039681E">
        <w:trPr>
          <w:cantSplit/>
          <w:trHeight w:val="7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扰动土地情况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扰动范围</w:t>
            </w:r>
          </w:p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控制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工程建设扰动范围在红线范围内。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表土剥离</w:t>
            </w:r>
          </w:p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保护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ind w:firstLineChars="150" w:firstLine="420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工程建设实施了表土剥离保护措施。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snapToGrid w:val="0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弃土（石、渣）堆放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在水保方案确定的弃土场弃土。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水土流失状况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水土流失量</w:t>
            </w:r>
            <w:r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17.55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m</w:t>
            </w:r>
            <w:r w:rsidRPr="0039681E"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  <w:vertAlign w:val="superscript"/>
              </w:rPr>
              <w:t>3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水土流失防治成效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工程措施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proofErr w:type="gramStart"/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无措施</w:t>
            </w:r>
            <w:proofErr w:type="gramEnd"/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落实不及时、不到位现象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植物措施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植物措施尚未实施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临时措施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一处临时堆土苫盖不到位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水土流失危害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未产生水土流失危害</w:t>
            </w:r>
          </w:p>
        </w:tc>
      </w:tr>
      <w:tr w:rsidR="0039681E" w:rsidRPr="0039681E" w:rsidTr="0039681E">
        <w:trPr>
          <w:cantSplit/>
          <w:trHeight w:val="707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合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</w:t>
            </w: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计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39681E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1E" w:rsidRPr="0039681E" w:rsidRDefault="0039681E" w:rsidP="0039681E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</w:tr>
    </w:tbl>
    <w:p w:rsidR="002C5C4C" w:rsidRDefault="002C5C4C" w:rsidP="0039681E">
      <w:pPr>
        <w:snapToGrid w:val="0"/>
        <w:spacing w:beforeLines="50" w:before="156" w:afterLines="50" w:after="156" w:line="260" w:lineRule="exact"/>
        <w:ind w:rightChars="-51" w:right="-107"/>
        <w:jc w:val="left"/>
        <w:rPr>
          <w:rFonts w:ascii="Times New Roman" w:eastAsia="仿宋" w:hAnsi="Times New Roman"/>
          <w:b/>
          <w:sz w:val="18"/>
          <w:szCs w:val="21"/>
          <w:u w:val="single"/>
        </w:rPr>
      </w:pPr>
    </w:p>
    <w:sectPr w:rsidR="002C5C4C" w:rsidSect="001809B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FCA" w:rsidRDefault="002E1FCA">
      <w:r>
        <w:separator/>
      </w:r>
    </w:p>
  </w:endnote>
  <w:endnote w:type="continuationSeparator" w:id="0">
    <w:p w:rsidR="002E1FCA" w:rsidRDefault="002E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4190605"/>
    </w:sdtPr>
    <w:sdtEndPr>
      <w:rPr>
        <w:sz w:val="21"/>
        <w:szCs w:val="21"/>
      </w:rPr>
    </w:sdtEndPr>
    <w:sdtContent>
      <w:p w:rsidR="00182537" w:rsidRDefault="00A914E4">
        <w:pPr>
          <w:pStyle w:val="a4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="00E85CE6" w:rsidRPr="00E85CE6">
          <w:rPr>
            <w:noProof/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 w:rsidR="00182537" w:rsidRDefault="0018253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FCA" w:rsidRDefault="002E1FCA">
      <w:r>
        <w:separator/>
      </w:r>
    </w:p>
  </w:footnote>
  <w:footnote w:type="continuationSeparator" w:id="0">
    <w:p w:rsidR="002E1FCA" w:rsidRDefault="002E1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537" w:rsidRDefault="0018253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55178"/>
    <w:rsid w:val="00062F79"/>
    <w:rsid w:val="000A2D9C"/>
    <w:rsid w:val="000D5846"/>
    <w:rsid w:val="000E36B2"/>
    <w:rsid w:val="000F2C77"/>
    <w:rsid w:val="000F7254"/>
    <w:rsid w:val="000F7572"/>
    <w:rsid w:val="00107C0D"/>
    <w:rsid w:val="00122049"/>
    <w:rsid w:val="00151701"/>
    <w:rsid w:val="00164821"/>
    <w:rsid w:val="00164AA6"/>
    <w:rsid w:val="001809B3"/>
    <w:rsid w:val="00182537"/>
    <w:rsid w:val="00190DF4"/>
    <w:rsid w:val="00194D24"/>
    <w:rsid w:val="00195564"/>
    <w:rsid w:val="001A047E"/>
    <w:rsid w:val="001A5C3D"/>
    <w:rsid w:val="001C32C3"/>
    <w:rsid w:val="001C3926"/>
    <w:rsid w:val="001D5CDD"/>
    <w:rsid w:val="001F11FC"/>
    <w:rsid w:val="002172C5"/>
    <w:rsid w:val="00217A69"/>
    <w:rsid w:val="00231239"/>
    <w:rsid w:val="00244700"/>
    <w:rsid w:val="00275A64"/>
    <w:rsid w:val="002B627B"/>
    <w:rsid w:val="002C5814"/>
    <w:rsid w:val="002C5C4C"/>
    <w:rsid w:val="002E1FCA"/>
    <w:rsid w:val="002F7392"/>
    <w:rsid w:val="0031617F"/>
    <w:rsid w:val="00335828"/>
    <w:rsid w:val="00343719"/>
    <w:rsid w:val="0037399C"/>
    <w:rsid w:val="0039681E"/>
    <w:rsid w:val="004025BD"/>
    <w:rsid w:val="004445F2"/>
    <w:rsid w:val="00456DEB"/>
    <w:rsid w:val="0047516D"/>
    <w:rsid w:val="004A657C"/>
    <w:rsid w:val="004C7641"/>
    <w:rsid w:val="004D204E"/>
    <w:rsid w:val="004E357C"/>
    <w:rsid w:val="004E732D"/>
    <w:rsid w:val="004F56F3"/>
    <w:rsid w:val="005032CA"/>
    <w:rsid w:val="0052478A"/>
    <w:rsid w:val="00534B56"/>
    <w:rsid w:val="0059649D"/>
    <w:rsid w:val="005B1339"/>
    <w:rsid w:val="005B52E1"/>
    <w:rsid w:val="005C300E"/>
    <w:rsid w:val="005D28E1"/>
    <w:rsid w:val="005E61FB"/>
    <w:rsid w:val="005F3854"/>
    <w:rsid w:val="005F46E2"/>
    <w:rsid w:val="00614404"/>
    <w:rsid w:val="00616B3B"/>
    <w:rsid w:val="00633A16"/>
    <w:rsid w:val="00656634"/>
    <w:rsid w:val="006644CF"/>
    <w:rsid w:val="00671ED8"/>
    <w:rsid w:val="0067243E"/>
    <w:rsid w:val="00712216"/>
    <w:rsid w:val="00712B5E"/>
    <w:rsid w:val="007246F4"/>
    <w:rsid w:val="007559A0"/>
    <w:rsid w:val="007646C9"/>
    <w:rsid w:val="00796BE4"/>
    <w:rsid w:val="007A0D4C"/>
    <w:rsid w:val="007A1ED8"/>
    <w:rsid w:val="007A31C8"/>
    <w:rsid w:val="007B062A"/>
    <w:rsid w:val="007B536B"/>
    <w:rsid w:val="007B5FE4"/>
    <w:rsid w:val="007D4F95"/>
    <w:rsid w:val="007E2C44"/>
    <w:rsid w:val="007F221D"/>
    <w:rsid w:val="007F7B08"/>
    <w:rsid w:val="008047F2"/>
    <w:rsid w:val="008120A7"/>
    <w:rsid w:val="00827432"/>
    <w:rsid w:val="00840F1F"/>
    <w:rsid w:val="008639A5"/>
    <w:rsid w:val="008D2FD7"/>
    <w:rsid w:val="008E5AEE"/>
    <w:rsid w:val="008E6178"/>
    <w:rsid w:val="009020DF"/>
    <w:rsid w:val="009043F0"/>
    <w:rsid w:val="00925610"/>
    <w:rsid w:val="009469B2"/>
    <w:rsid w:val="0096040F"/>
    <w:rsid w:val="00972524"/>
    <w:rsid w:val="009C2F94"/>
    <w:rsid w:val="009C3334"/>
    <w:rsid w:val="009D43A8"/>
    <w:rsid w:val="009E2641"/>
    <w:rsid w:val="009E7AD2"/>
    <w:rsid w:val="009F083F"/>
    <w:rsid w:val="009F4D46"/>
    <w:rsid w:val="00A100AF"/>
    <w:rsid w:val="00A45CE7"/>
    <w:rsid w:val="00A47CB3"/>
    <w:rsid w:val="00A6273C"/>
    <w:rsid w:val="00A76CCE"/>
    <w:rsid w:val="00A914E4"/>
    <w:rsid w:val="00AB3E71"/>
    <w:rsid w:val="00AC600C"/>
    <w:rsid w:val="00AE6FD8"/>
    <w:rsid w:val="00B0549F"/>
    <w:rsid w:val="00B0743E"/>
    <w:rsid w:val="00B108A5"/>
    <w:rsid w:val="00B158A1"/>
    <w:rsid w:val="00B16D11"/>
    <w:rsid w:val="00B23FF8"/>
    <w:rsid w:val="00B31E96"/>
    <w:rsid w:val="00B36492"/>
    <w:rsid w:val="00B503D0"/>
    <w:rsid w:val="00B54BE4"/>
    <w:rsid w:val="00B565F2"/>
    <w:rsid w:val="00B573D1"/>
    <w:rsid w:val="00B67F2A"/>
    <w:rsid w:val="00B72EF1"/>
    <w:rsid w:val="00B80D40"/>
    <w:rsid w:val="00B94A98"/>
    <w:rsid w:val="00BB6FB9"/>
    <w:rsid w:val="00BB757F"/>
    <w:rsid w:val="00BB78D0"/>
    <w:rsid w:val="00BC1F21"/>
    <w:rsid w:val="00C1458D"/>
    <w:rsid w:val="00C246C5"/>
    <w:rsid w:val="00C406B5"/>
    <w:rsid w:val="00CC0AD2"/>
    <w:rsid w:val="00CC4F81"/>
    <w:rsid w:val="00CD2298"/>
    <w:rsid w:val="00D223E5"/>
    <w:rsid w:val="00D368D0"/>
    <w:rsid w:val="00D47072"/>
    <w:rsid w:val="00D6361B"/>
    <w:rsid w:val="00D6438D"/>
    <w:rsid w:val="00D86A4C"/>
    <w:rsid w:val="00D95794"/>
    <w:rsid w:val="00E04349"/>
    <w:rsid w:val="00E06A4D"/>
    <w:rsid w:val="00E5778E"/>
    <w:rsid w:val="00E72073"/>
    <w:rsid w:val="00E85CE6"/>
    <w:rsid w:val="00E92191"/>
    <w:rsid w:val="00E95946"/>
    <w:rsid w:val="00EA0E1D"/>
    <w:rsid w:val="00EA7D22"/>
    <w:rsid w:val="00EC3743"/>
    <w:rsid w:val="00EC6500"/>
    <w:rsid w:val="00EE0B7B"/>
    <w:rsid w:val="00F00D9B"/>
    <w:rsid w:val="00F125B2"/>
    <w:rsid w:val="00F36EEA"/>
    <w:rsid w:val="00F37DF8"/>
    <w:rsid w:val="00F41679"/>
    <w:rsid w:val="00F6259B"/>
    <w:rsid w:val="00F67CD8"/>
    <w:rsid w:val="00FB1E24"/>
    <w:rsid w:val="00FB3BEE"/>
    <w:rsid w:val="00FE5CFE"/>
    <w:rsid w:val="00FE605B"/>
    <w:rsid w:val="00FF7609"/>
    <w:rsid w:val="2C2C6E41"/>
    <w:rsid w:val="57B3491E"/>
    <w:rsid w:val="790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uiPriority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before="156" w:afterLines="50" w:after="156" w:line="700" w:lineRule="exact"/>
      <w:ind w:firstLineChars="200" w:firstLine="480"/>
      <w:jc w:val="center"/>
      <w:outlineLvl w:val="0"/>
    </w:pPr>
    <w:rPr>
      <w:rFonts w:ascii="Times New Roman" w:eastAsia="仿宋_GB2312" w:hAnsi="Times New Roman" w:cs="Times New Roman"/>
      <w:b/>
      <w:kern w:val="0"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仿宋_GB2312" w:hAnsi="Times New Roman" w:cs="Times New Roman"/>
      <w:b/>
      <w:kern w:val="0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uiPriority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before="156" w:afterLines="50" w:after="156" w:line="700" w:lineRule="exact"/>
      <w:ind w:firstLineChars="200" w:firstLine="480"/>
      <w:jc w:val="center"/>
      <w:outlineLvl w:val="0"/>
    </w:pPr>
    <w:rPr>
      <w:rFonts w:ascii="Times New Roman" w:eastAsia="仿宋_GB2312" w:hAnsi="Times New Roman" w:cs="Times New Roman"/>
      <w:b/>
      <w:kern w:val="0"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仿宋_GB2312" w:hAnsi="Times New Roman" w:cs="Times New Roman"/>
      <w:b/>
      <w:kern w:val="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12</cp:revision>
  <cp:lastPrinted>2020-11-04T01:06:00Z</cp:lastPrinted>
  <dcterms:created xsi:type="dcterms:W3CDTF">2020-10-26T00:35:00Z</dcterms:created>
  <dcterms:modified xsi:type="dcterms:W3CDTF">2021-01-20T01:27:00Z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