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3B" w:rsidRDefault="00032400">
      <w:pPr>
        <w:wordWrap w:val="0"/>
        <w:ind w:rightChars="330" w:right="792" w:firstLine="56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oval id="_x0000_s1026" style="position:absolute;left:0;text-align:left;margin-left:375pt;margin-top:-9pt;width:46.5pt;height:46.5pt;z-index:251659264;mso-width-relative:page;mso-height-relative:page;v-text-anchor:middle" o:gfxdata="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sL3rWAAAACgEAAA8AAAAAAAAAAQAgAAAAIgAAAGRycy9kb3ducmV2LnhtbFBLAQIUABQA&#10;AAAIAIdO4kDxigmPZAIAAL0EAAAOAAAAAAAAAAEAIAAAACUBAABkcnMvZTJvRG9jLnhtbFBLBQYA&#10;AAAABgAGAFkBAAD7BQAAAAA=&#10;" fillcolor="lime" strokeweight=".25pt">
            <v:textbox>
              <w:txbxContent>
                <w:p w:rsidR="00F9443B" w:rsidRDefault="00F9443B">
                  <w:pPr>
                    <w:jc w:val="center"/>
                  </w:pPr>
                </w:p>
              </w:txbxContent>
            </v:textbox>
          </v:oval>
        </w:pict>
      </w:r>
      <w:r>
        <w:rPr>
          <w:rFonts w:hint="eastAsia"/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>年第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季度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F9443B" w:rsidRDefault="00F9443B"/>
    <w:p w:rsidR="00F9443B" w:rsidRDefault="00F9443B"/>
    <w:p w:rsidR="00F9443B" w:rsidRDefault="00F9443B"/>
    <w:p w:rsidR="00F9443B" w:rsidRDefault="00F9443B"/>
    <w:p w:rsidR="00F9443B" w:rsidRDefault="00F9443B"/>
    <w:p w:rsidR="00F9443B" w:rsidRDefault="00F9443B"/>
    <w:p w:rsidR="00F9443B" w:rsidRDefault="00032400">
      <w:pPr>
        <w:pStyle w:val="1"/>
        <w:spacing w:before="156" w:after="156"/>
        <w:ind w:firstLineChars="0" w:firstLine="0"/>
      </w:pPr>
      <w:r>
        <w:t>生产建设项目水土保持监测季度报告表</w:t>
      </w:r>
    </w:p>
    <w:p w:rsidR="00F9443B" w:rsidRDefault="00F9443B"/>
    <w:p w:rsidR="00F9443B" w:rsidRDefault="00F9443B"/>
    <w:p w:rsidR="00F9443B" w:rsidRDefault="00F9443B"/>
    <w:p w:rsidR="00F9443B" w:rsidRDefault="00F9443B"/>
    <w:p w:rsidR="00F9443B" w:rsidRDefault="00F9443B"/>
    <w:p w:rsidR="00F9443B" w:rsidRDefault="00F9443B"/>
    <w:p w:rsidR="00F9443B" w:rsidRDefault="00F9443B"/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>
        <w:rPr>
          <w:rFonts w:ascii="华文楷体" w:eastAsia="华文楷体" w:hAnsi="华文楷体"/>
          <w:b/>
          <w:bCs/>
          <w:sz w:val="32"/>
          <w:szCs w:val="32"/>
        </w:rPr>
        <w:t>大安市李家围子至金</w:t>
      </w:r>
      <w:proofErr w:type="gramStart"/>
      <w:r>
        <w:rPr>
          <w:rFonts w:ascii="华文楷体" w:eastAsia="华文楷体" w:hAnsi="华文楷体"/>
          <w:b/>
          <w:bCs/>
          <w:sz w:val="32"/>
          <w:szCs w:val="32"/>
        </w:rPr>
        <w:t>善公路</w:t>
      </w:r>
      <w:proofErr w:type="gramEnd"/>
      <w:r>
        <w:rPr>
          <w:rFonts w:ascii="华文楷体" w:eastAsia="华文楷体" w:hAnsi="华文楷体"/>
          <w:b/>
          <w:bCs/>
          <w:sz w:val="32"/>
          <w:szCs w:val="32"/>
        </w:rPr>
        <w:t>改建工程</w:t>
      </w:r>
    </w:p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>
        <w:rPr>
          <w:rFonts w:ascii="华文楷体" w:eastAsia="华文楷体" w:hAnsi="华文楷体"/>
          <w:b/>
          <w:bCs/>
          <w:sz w:val="32"/>
          <w:szCs w:val="32"/>
        </w:rPr>
        <w:t>大安市村村</w:t>
      </w:r>
      <w:proofErr w:type="gramStart"/>
      <w:r>
        <w:rPr>
          <w:rFonts w:ascii="华文楷体" w:eastAsia="华文楷体" w:hAnsi="华文楷体"/>
          <w:b/>
          <w:bCs/>
          <w:sz w:val="32"/>
          <w:szCs w:val="32"/>
        </w:rPr>
        <w:t>通工程</w:t>
      </w:r>
      <w:proofErr w:type="gramEnd"/>
      <w:r>
        <w:rPr>
          <w:rFonts w:ascii="华文楷体" w:eastAsia="华文楷体" w:hAnsi="华文楷体"/>
          <w:b/>
          <w:bCs/>
          <w:sz w:val="32"/>
          <w:szCs w:val="32"/>
        </w:rPr>
        <w:t>指挥部办公室</w:t>
      </w:r>
    </w:p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</w:t>
      </w:r>
      <w:r>
        <w:rPr>
          <w:rFonts w:ascii="华文楷体" w:eastAsia="华文楷体" w:hAnsi="华文楷体"/>
          <w:b/>
          <w:bCs/>
          <w:sz w:val="32"/>
          <w:szCs w:val="32"/>
        </w:rPr>
        <w:t>2020</w:t>
      </w:r>
      <w:r>
        <w:rPr>
          <w:rFonts w:ascii="华文楷体" w:eastAsia="华文楷体" w:hAnsi="华文楷体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  <w:r>
        <w:rPr>
          <w:rFonts w:ascii="华文楷体" w:eastAsia="华文楷体" w:hAnsi="华文楷体"/>
          <w:b/>
          <w:bCs/>
          <w:sz w:val="32"/>
          <w:szCs w:val="32"/>
        </w:rPr>
        <w:t>—2020</w:t>
      </w:r>
      <w:r>
        <w:rPr>
          <w:rFonts w:ascii="华文楷体" w:eastAsia="华文楷体" w:hAnsi="华文楷体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F9443B" w:rsidRDefault="0003240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F944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2020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31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日</w:t>
      </w:r>
    </w:p>
    <w:p w:rsidR="00F9443B" w:rsidRDefault="00032400" w:rsidP="00DD5441">
      <w:pPr>
        <w:spacing w:beforeLines="50" w:before="156"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>
        <w:rPr>
          <w:rFonts w:eastAsia="仿宋_GB2312" w:hint="eastAsia"/>
          <w:b/>
          <w:kern w:val="2"/>
          <w:sz w:val="32"/>
          <w:szCs w:val="32"/>
        </w:rPr>
        <w:t>季度报告表</w:t>
      </w:r>
    </w:p>
    <w:p w:rsidR="00F9443B" w:rsidRDefault="00032400" w:rsidP="00DD5441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  <w:u w:val="single"/>
        </w:rPr>
      </w:pPr>
      <w:r>
        <w:rPr>
          <w:rFonts w:eastAsia="仿宋_GB2312" w:hint="eastAsia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kern w:val="2"/>
          <w:sz w:val="18"/>
          <w:szCs w:val="18"/>
          <w:u w:val="single"/>
        </w:rPr>
        <w:t>2020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>
        <w:rPr>
          <w:rFonts w:eastAsia="仿宋_GB2312"/>
          <w:b/>
          <w:kern w:val="2"/>
          <w:sz w:val="18"/>
          <w:szCs w:val="18"/>
          <w:u w:val="single"/>
        </w:rPr>
        <w:t>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12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/>
          <w:b/>
          <w:kern w:val="2"/>
          <w:sz w:val="18"/>
          <w:szCs w:val="18"/>
          <w:u w:val="single"/>
        </w:rPr>
        <w:t>3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58"/>
        <w:gridCol w:w="392"/>
        <w:gridCol w:w="2623"/>
        <w:gridCol w:w="150"/>
        <w:gridCol w:w="757"/>
        <w:gridCol w:w="974"/>
        <w:gridCol w:w="982"/>
      </w:tblGrid>
      <w:tr w:rsidR="00F9443B">
        <w:tc>
          <w:tcPr>
            <w:tcW w:w="17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2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三合至莫力达瓦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旗公路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新化至维新段工程</w:t>
            </w:r>
          </w:p>
        </w:tc>
      </w:tr>
      <w:tr w:rsidR="00F9443B">
        <w:tc>
          <w:tcPr>
            <w:tcW w:w="89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9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马小玉</w:t>
            </w:r>
            <w:r>
              <w:rPr>
                <w:rFonts w:eastAsia="仿宋"/>
                <w:kern w:val="2"/>
                <w:sz w:val="21"/>
                <w:szCs w:val="21"/>
              </w:rPr>
              <w:t>13278168866</w:t>
            </w:r>
          </w:p>
        </w:tc>
        <w:tc>
          <w:tcPr>
            <w:tcW w:w="1666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630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020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F9443B">
        <w:tc>
          <w:tcPr>
            <w:tcW w:w="8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6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63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F9443B" w:rsidTr="00DD5441">
        <w:trPr>
          <w:trHeight w:val="2335"/>
        </w:trPr>
        <w:tc>
          <w:tcPr>
            <w:tcW w:w="170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296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theme="minorEastAsia" w:hint="eastAsia"/>
                <w:color w:val="000000" w:themeColor="text1"/>
              </w:rPr>
              <w:t>全线路基工程、路面底基层、基层、下面层、桥涵工程、交通安全设施工程</w:t>
            </w:r>
            <w:r>
              <w:rPr>
                <w:rFonts w:ascii="仿宋" w:eastAsia="仿宋" w:hAnsi="仿宋" w:cstheme="minorEastAsia" w:hint="eastAsia"/>
                <w:color w:val="000000" w:themeColor="text1"/>
              </w:rPr>
              <w:t>已全部完成</w:t>
            </w:r>
            <w:r>
              <w:rPr>
                <w:rFonts w:ascii="仿宋" w:eastAsia="仿宋" w:hAnsi="仿宋" w:cstheme="minorEastAsia" w:hint="eastAsia"/>
                <w:color w:val="000000" w:themeColor="text1"/>
              </w:rPr>
              <w:t>。</w:t>
            </w:r>
          </w:p>
          <w:p w:rsidR="00F9443B" w:rsidRDefault="00F9443B" w:rsidP="00DD5441">
            <w:pPr>
              <w:spacing w:line="240" w:lineRule="auto"/>
              <w:ind w:firstLine="42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F9443B" w:rsidTr="00DD5441">
        <w:trPr>
          <w:trHeight w:val="412"/>
        </w:trPr>
        <w:tc>
          <w:tcPr>
            <w:tcW w:w="327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545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F9443B" w:rsidTr="00DD5441">
        <w:trPr>
          <w:trHeight w:val="419"/>
        </w:trPr>
        <w:tc>
          <w:tcPr>
            <w:tcW w:w="1468" w:type="pct"/>
            <w:gridSpan w:val="2"/>
            <w:vMerge w:val="restar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扰动土地面积（</w:t>
            </w:r>
            <w:r>
              <w:rPr>
                <w:rFonts w:eastAsia="仿宋"/>
                <w:kern w:val="2"/>
                <w:sz w:val="21"/>
                <w:szCs w:val="21"/>
              </w:rPr>
              <w:t>h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1811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计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12.56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1.7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4.0</w:t>
            </w:r>
          </w:p>
        </w:tc>
      </w:tr>
      <w:tr w:rsidR="00F9443B" w:rsidTr="00DD5441">
        <w:trPr>
          <w:trHeight w:val="425"/>
        </w:trPr>
        <w:tc>
          <w:tcPr>
            <w:tcW w:w="1468" w:type="pct"/>
            <w:gridSpan w:val="2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主体工程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11.23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1.7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4.0</w:t>
            </w:r>
          </w:p>
        </w:tc>
      </w:tr>
      <w:tr w:rsidR="00F9443B" w:rsidTr="00DD5441">
        <w:trPr>
          <w:trHeight w:val="416"/>
        </w:trPr>
        <w:tc>
          <w:tcPr>
            <w:tcW w:w="1468" w:type="pct"/>
            <w:gridSpan w:val="2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取土场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09"/>
        </w:trPr>
        <w:tc>
          <w:tcPr>
            <w:tcW w:w="1468" w:type="pct"/>
            <w:gridSpan w:val="2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15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07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31"/>
        </w:trPr>
        <w:tc>
          <w:tcPr>
            <w:tcW w:w="3279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0.28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09"/>
        </w:trPr>
        <w:tc>
          <w:tcPr>
            <w:tcW w:w="3279" w:type="pct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00"/>
        </w:trPr>
        <w:tc>
          <w:tcPr>
            <w:tcW w:w="893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38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20"/>
        </w:trPr>
        <w:tc>
          <w:tcPr>
            <w:tcW w:w="89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</w:t>
            </w:r>
            <w:r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27"/>
        </w:trPr>
        <w:tc>
          <w:tcPr>
            <w:tcW w:w="893" w:type="pct"/>
            <w:vMerge w:val="restar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574" w:type="pct"/>
            <w:vMerge w:val="restar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2.35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0.71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1.7/0.5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4.0/1.2</w:t>
            </w:r>
          </w:p>
        </w:tc>
      </w:tr>
      <w:tr w:rsidR="00F9443B" w:rsidTr="00DD5441">
        <w:trPr>
          <w:trHeight w:val="405"/>
        </w:trPr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4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4.95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0.99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24"/>
        </w:trPr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4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4.95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16"/>
        </w:trPr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撒播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植草（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>.95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23"/>
        </w:trPr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811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苫盖（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8000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</w:tr>
      <w:tr w:rsidR="00F9443B" w:rsidTr="00DD5441">
        <w:trPr>
          <w:trHeight w:val="415"/>
        </w:trPr>
        <w:tc>
          <w:tcPr>
            <w:tcW w:w="893" w:type="pct"/>
            <w:vMerge w:val="restar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25.3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459.3</w:t>
            </w:r>
          </w:p>
        </w:tc>
      </w:tr>
      <w:tr w:rsidR="00F9443B" w:rsidTr="00DD5441">
        <w:trPr>
          <w:trHeight w:val="403"/>
        </w:trPr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</w:t>
            </w:r>
            <w:r>
              <w:rPr>
                <w:rFonts w:eastAsia="仿宋"/>
                <w:kern w:val="2"/>
                <w:sz w:val="21"/>
                <w:szCs w:val="21"/>
              </w:rPr>
              <w:t>24</w:t>
            </w:r>
            <w:r>
              <w:rPr>
                <w:rFonts w:eastAsia="仿宋"/>
                <w:kern w:val="2"/>
                <w:sz w:val="21"/>
                <w:szCs w:val="21"/>
              </w:rPr>
              <w:t>小时降雨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7.3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96.3</w:t>
            </w:r>
          </w:p>
        </w:tc>
      </w:tr>
      <w:tr w:rsidR="00F9443B">
        <w:tc>
          <w:tcPr>
            <w:tcW w:w="893" w:type="pct"/>
            <w:vMerge/>
            <w:shd w:val="clear" w:color="auto" w:fill="auto"/>
            <w:vAlign w:val="center"/>
          </w:tcPr>
          <w:p w:rsidR="00F9443B" w:rsidRDefault="00F9443B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85" w:type="pct"/>
            <w:gridSpan w:val="3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</w:t>
            </w:r>
            <w:r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545" w:type="pct"/>
            <w:gridSpan w:val="2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11.2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20.8</w:t>
            </w:r>
          </w:p>
        </w:tc>
      </w:tr>
      <w:tr w:rsidR="00F9443B">
        <w:tc>
          <w:tcPr>
            <w:tcW w:w="3279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lastRenderedPageBreak/>
              <w:t>水土流失量（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5" w:type="pct"/>
            <w:gridSpan w:val="2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85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17</w:t>
            </w:r>
          </w:p>
        </w:tc>
        <w:tc>
          <w:tcPr>
            <w:tcW w:w="589" w:type="pct"/>
            <w:shd w:val="clear" w:color="auto" w:fill="auto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33</w:t>
            </w:r>
          </w:p>
        </w:tc>
      </w:tr>
      <w:tr w:rsidR="00F9443B">
        <w:tc>
          <w:tcPr>
            <w:tcW w:w="3279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1720" w:type="pct"/>
            <w:gridSpan w:val="4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F9443B">
        <w:trPr>
          <w:trHeight w:val="10639"/>
        </w:trPr>
        <w:tc>
          <w:tcPr>
            <w:tcW w:w="893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监测现场照片</w:t>
            </w:r>
          </w:p>
        </w:tc>
        <w:tc>
          <w:tcPr>
            <w:tcW w:w="4106" w:type="pct"/>
            <w:gridSpan w:val="7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2915920" cy="2752725"/>
                  <wp:effectExtent l="0" t="0" r="17780" b="9525"/>
                  <wp:docPr id="4" name="图片 4" descr="C:\Users\Administrator\Desktop\新建文件夹\ec22b6f24f764a88475e7902270f397.jpgec22b6f24f764a88475e7902270f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新建文件夹\ec22b6f24f764a88475e7902270f397.jpgec22b6f24f764a88475e7902270f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2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↑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线路区</w:t>
            </w:r>
          </w:p>
          <w:p w:rsidR="00F9443B" w:rsidRDefault="000324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2896870" cy="2695575"/>
                  <wp:effectExtent l="0" t="0" r="17780" b="9525"/>
                  <wp:docPr id="5" name="图片 5" descr="C:\Users\Administrator\Desktop\新建文件夹\e68386d27fd723d16b73a7f19ddbb81.jpge68386d27fd723d16b73a7f19ddbb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strator\Desktop\新建文件夹\e68386d27fd723d16b73a7f19ddbb81.jpge68386d27fd723d16b73a7f19ddbb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870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↑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线路区</w:t>
            </w:r>
          </w:p>
          <w:p w:rsidR="00F9443B" w:rsidRDefault="00F9443B" w:rsidP="00DD5441">
            <w:pPr>
              <w:pStyle w:val="2"/>
              <w:ind w:left="480"/>
            </w:pPr>
          </w:p>
        </w:tc>
      </w:tr>
      <w:tr w:rsidR="00F9443B">
        <w:trPr>
          <w:trHeight w:val="10639"/>
        </w:trPr>
        <w:tc>
          <w:tcPr>
            <w:tcW w:w="893" w:type="pct"/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lastRenderedPageBreak/>
              <w:t>监测成果</w:t>
            </w:r>
          </w:p>
        </w:tc>
        <w:tc>
          <w:tcPr>
            <w:tcW w:w="4106" w:type="pct"/>
            <w:gridSpan w:val="7"/>
            <w:shd w:val="clear" w:color="auto" w:fill="auto"/>
          </w:tcPr>
          <w:p w:rsidR="00F9443B" w:rsidRDefault="00032400">
            <w:pPr>
              <w:pStyle w:val="2"/>
              <w:ind w:leftChars="0" w:left="0"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301490" cy="3225800"/>
                  <wp:effectExtent l="0" t="0" r="3810" b="12700"/>
                  <wp:docPr id="1" name="图片 1" descr="第四季第业主公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第四季第业主公示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43B" w:rsidRDefault="00032400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317365" cy="3238500"/>
                  <wp:effectExtent l="0" t="0" r="6985" b="0"/>
                  <wp:docPr id="2" name="图片 2" descr="1036d360100785ecf8e47cd70a87d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036d360100785ecf8e47cd70a87d4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43B">
        <w:trPr>
          <w:trHeight w:val="64"/>
        </w:trPr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存在问题与建议</w:t>
            </w:r>
          </w:p>
        </w:tc>
        <w:tc>
          <w:tcPr>
            <w:tcW w:w="4106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建议施工单位按照水土保持方案落实各项水保措施</w:t>
            </w:r>
          </w:p>
        </w:tc>
      </w:tr>
    </w:tbl>
    <w:p w:rsidR="00F9443B" w:rsidRDefault="00032400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:rsidR="00F9443B" w:rsidRDefault="00F9443B" w:rsidP="00DD5441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F9443B" w:rsidRDefault="00F9443B" w:rsidP="00DD5441">
      <w:pPr>
        <w:ind w:firstLine="420"/>
        <w:rPr>
          <w:rFonts w:eastAsia="仿宋_GB2312"/>
          <w:kern w:val="2"/>
          <w:sz w:val="21"/>
          <w:szCs w:val="21"/>
        </w:rPr>
      </w:pPr>
    </w:p>
    <w:p w:rsidR="00F9443B" w:rsidRDefault="00F9443B" w:rsidP="00DD5441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F9443B" w:rsidRDefault="00F9443B" w:rsidP="00DD5441">
      <w:pPr>
        <w:ind w:firstLine="420"/>
        <w:rPr>
          <w:rFonts w:eastAsia="仿宋_GB2312" w:hint="eastAsia"/>
          <w:kern w:val="2"/>
          <w:sz w:val="21"/>
          <w:szCs w:val="21"/>
        </w:rPr>
      </w:pPr>
    </w:p>
    <w:p w:rsidR="00DD5441" w:rsidRPr="00DD5441" w:rsidRDefault="00DD5441" w:rsidP="00DD5441">
      <w:bookmarkStart w:id="1" w:name="_GoBack"/>
      <w:bookmarkEnd w:id="1"/>
    </w:p>
    <w:p w:rsidR="00F9443B" w:rsidRDefault="00032400" w:rsidP="00DD5441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sz w:val="32"/>
          <w:szCs w:val="32"/>
        </w:rPr>
      </w:pPr>
      <w:r>
        <w:rPr>
          <w:rFonts w:eastAsia="方正小标宋_GBK" w:cs="方正小标宋_GBK" w:hint="eastAsia"/>
          <w:bCs/>
          <w:color w:val="000000"/>
          <w:sz w:val="32"/>
          <w:szCs w:val="32"/>
        </w:rPr>
        <w:lastRenderedPageBreak/>
        <w:t>生产建设项目水土保持监测三</w:t>
      </w:r>
      <w:proofErr w:type="gramStart"/>
      <w:r>
        <w:rPr>
          <w:rFonts w:eastAsia="方正小标宋_GBK" w:cs="方正小标宋_GBK" w:hint="eastAsia"/>
          <w:bCs/>
          <w:color w:val="000000"/>
          <w:sz w:val="32"/>
          <w:szCs w:val="32"/>
        </w:rPr>
        <w:t>色评价</w:t>
      </w:r>
      <w:proofErr w:type="gramEnd"/>
      <w:r>
        <w:rPr>
          <w:rFonts w:eastAsia="方正小标宋_GBK" w:cs="方正小标宋_GBK" w:hint="eastAsia"/>
          <w:bCs/>
          <w:color w:val="000000"/>
          <w:sz w:val="32"/>
          <w:szCs w:val="32"/>
        </w:rPr>
        <w:t>指标及赋分表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797"/>
        <w:gridCol w:w="1546"/>
        <w:gridCol w:w="1123"/>
        <w:gridCol w:w="987"/>
        <w:gridCol w:w="4067"/>
      </w:tblGrid>
      <w:tr w:rsidR="00F9443B">
        <w:trPr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大安市李家围子至金</w:t>
            </w:r>
            <w:proofErr w:type="gramStart"/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善公路</w:t>
            </w:r>
            <w:proofErr w:type="gramEnd"/>
            <w:r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  <w:t>改建工程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项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目</w:t>
            </w:r>
          </w:p>
        </w:tc>
      </w:tr>
      <w:tr w:rsidR="00F9443B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>4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>4.0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F9443B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:rsidR="00F9443B" w:rsidRDefault="00032400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F9443B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F9443B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工程建设扰动范围在红线范围内</w:t>
            </w:r>
          </w:p>
        </w:tc>
      </w:tr>
      <w:tr w:rsidR="00F9443B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F9443B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150" w:firstLine="42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 w:rsidR="00F9443B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F9443B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工程未设置弃土场</w:t>
            </w:r>
          </w:p>
        </w:tc>
      </w:tr>
      <w:tr w:rsidR="00F9443B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eastAsia="仿宋_GB2312" w:hint="eastAsia"/>
                <w:color w:val="000000"/>
                <w:kern w:val="2"/>
                <w:sz w:val="28"/>
                <w:szCs w:val="28"/>
              </w:rPr>
              <w:t>22.1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F9443B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F9443B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F9443B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F9443B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F9443B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临时堆土苫盖不及时</w:t>
            </w:r>
          </w:p>
        </w:tc>
      </w:tr>
      <w:tr w:rsidR="00F9443B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F9443B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03240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96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43B" w:rsidRDefault="00F9443B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:rsidR="00F9443B" w:rsidRDefault="00F9443B">
      <w:pPr>
        <w:pStyle w:val="2"/>
        <w:ind w:leftChars="0" w:left="0" w:firstLineChars="0" w:firstLine="0"/>
      </w:pPr>
    </w:p>
    <w:sectPr w:rsidR="00F9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400" w:rsidRDefault="00032400">
      <w:pPr>
        <w:spacing w:line="240" w:lineRule="auto"/>
      </w:pPr>
      <w:r>
        <w:separator/>
      </w:r>
    </w:p>
  </w:endnote>
  <w:endnote w:type="continuationSeparator" w:id="0">
    <w:p w:rsidR="00032400" w:rsidRDefault="00032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400" w:rsidRDefault="00032400">
      <w:pPr>
        <w:spacing w:line="240" w:lineRule="auto"/>
      </w:pPr>
      <w:r>
        <w:separator/>
      </w:r>
    </w:p>
  </w:footnote>
  <w:footnote w:type="continuationSeparator" w:id="0">
    <w:p w:rsidR="00032400" w:rsidRDefault="00032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3B" w:rsidRDefault="00F9443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3FF8"/>
    <w:rsid w:val="00032400"/>
    <w:rsid w:val="00056EFA"/>
    <w:rsid w:val="00062F79"/>
    <w:rsid w:val="0009158F"/>
    <w:rsid w:val="00095FD6"/>
    <w:rsid w:val="000E36B2"/>
    <w:rsid w:val="000F7572"/>
    <w:rsid w:val="00105449"/>
    <w:rsid w:val="001134E0"/>
    <w:rsid w:val="001161CB"/>
    <w:rsid w:val="00151701"/>
    <w:rsid w:val="00195564"/>
    <w:rsid w:val="001A5C3D"/>
    <w:rsid w:val="001B3385"/>
    <w:rsid w:val="001C4C5C"/>
    <w:rsid w:val="001C69AF"/>
    <w:rsid w:val="001D5CDD"/>
    <w:rsid w:val="001E1FAA"/>
    <w:rsid w:val="001F7B10"/>
    <w:rsid w:val="002172C5"/>
    <w:rsid w:val="00220714"/>
    <w:rsid w:val="00244700"/>
    <w:rsid w:val="00244EF9"/>
    <w:rsid w:val="00247595"/>
    <w:rsid w:val="00271F86"/>
    <w:rsid w:val="002B1E40"/>
    <w:rsid w:val="002D52DF"/>
    <w:rsid w:val="002F2AAA"/>
    <w:rsid w:val="00305206"/>
    <w:rsid w:val="003261BB"/>
    <w:rsid w:val="00343719"/>
    <w:rsid w:val="003B450C"/>
    <w:rsid w:val="003E5D31"/>
    <w:rsid w:val="00426AF4"/>
    <w:rsid w:val="00437E36"/>
    <w:rsid w:val="004506AE"/>
    <w:rsid w:val="004624B3"/>
    <w:rsid w:val="0046486D"/>
    <w:rsid w:val="0047516D"/>
    <w:rsid w:val="004A657C"/>
    <w:rsid w:val="004B2B3F"/>
    <w:rsid w:val="004E732D"/>
    <w:rsid w:val="00531C5F"/>
    <w:rsid w:val="0053655F"/>
    <w:rsid w:val="005747D3"/>
    <w:rsid w:val="0058565E"/>
    <w:rsid w:val="005A3087"/>
    <w:rsid w:val="005D28E1"/>
    <w:rsid w:val="005F46E2"/>
    <w:rsid w:val="00616B3B"/>
    <w:rsid w:val="006228AF"/>
    <w:rsid w:val="00656634"/>
    <w:rsid w:val="00667058"/>
    <w:rsid w:val="006C6AA2"/>
    <w:rsid w:val="006D09D9"/>
    <w:rsid w:val="007246F4"/>
    <w:rsid w:val="00761728"/>
    <w:rsid w:val="007646C9"/>
    <w:rsid w:val="0079539A"/>
    <w:rsid w:val="007A1ED8"/>
    <w:rsid w:val="007A5902"/>
    <w:rsid w:val="007B0835"/>
    <w:rsid w:val="007D6C1B"/>
    <w:rsid w:val="007F290C"/>
    <w:rsid w:val="00807BA8"/>
    <w:rsid w:val="00811538"/>
    <w:rsid w:val="0083147C"/>
    <w:rsid w:val="00831A06"/>
    <w:rsid w:val="00840F1F"/>
    <w:rsid w:val="00852434"/>
    <w:rsid w:val="00853A45"/>
    <w:rsid w:val="008B285A"/>
    <w:rsid w:val="008B4EAE"/>
    <w:rsid w:val="008C1225"/>
    <w:rsid w:val="008E6178"/>
    <w:rsid w:val="009134B3"/>
    <w:rsid w:val="00920003"/>
    <w:rsid w:val="00924F70"/>
    <w:rsid w:val="00933848"/>
    <w:rsid w:val="009469B2"/>
    <w:rsid w:val="009471ED"/>
    <w:rsid w:val="00953AAE"/>
    <w:rsid w:val="0096040F"/>
    <w:rsid w:val="00972524"/>
    <w:rsid w:val="00991F38"/>
    <w:rsid w:val="009C6D31"/>
    <w:rsid w:val="009D43A8"/>
    <w:rsid w:val="009F4D46"/>
    <w:rsid w:val="00A45CE7"/>
    <w:rsid w:val="00A47CB3"/>
    <w:rsid w:val="00A51528"/>
    <w:rsid w:val="00A60083"/>
    <w:rsid w:val="00A6273C"/>
    <w:rsid w:val="00A628B1"/>
    <w:rsid w:val="00A654E8"/>
    <w:rsid w:val="00A71242"/>
    <w:rsid w:val="00A716EB"/>
    <w:rsid w:val="00A7342A"/>
    <w:rsid w:val="00A73FC3"/>
    <w:rsid w:val="00A827B2"/>
    <w:rsid w:val="00AC600C"/>
    <w:rsid w:val="00AF27BE"/>
    <w:rsid w:val="00B00437"/>
    <w:rsid w:val="00B0743E"/>
    <w:rsid w:val="00B16D11"/>
    <w:rsid w:val="00B23FF8"/>
    <w:rsid w:val="00B36492"/>
    <w:rsid w:val="00B4142D"/>
    <w:rsid w:val="00B67F2A"/>
    <w:rsid w:val="00B71F46"/>
    <w:rsid w:val="00BE73E7"/>
    <w:rsid w:val="00C03A6C"/>
    <w:rsid w:val="00C118FC"/>
    <w:rsid w:val="00C406B5"/>
    <w:rsid w:val="00C60A6E"/>
    <w:rsid w:val="00C853B1"/>
    <w:rsid w:val="00C876BC"/>
    <w:rsid w:val="00C87A4D"/>
    <w:rsid w:val="00CA3B28"/>
    <w:rsid w:val="00CC4C0E"/>
    <w:rsid w:val="00CC4F81"/>
    <w:rsid w:val="00CD2298"/>
    <w:rsid w:val="00D04BBB"/>
    <w:rsid w:val="00D15A08"/>
    <w:rsid w:val="00D368D0"/>
    <w:rsid w:val="00D415F3"/>
    <w:rsid w:val="00D53926"/>
    <w:rsid w:val="00D55660"/>
    <w:rsid w:val="00D6438D"/>
    <w:rsid w:val="00D73CC2"/>
    <w:rsid w:val="00D900B2"/>
    <w:rsid w:val="00D95794"/>
    <w:rsid w:val="00DD5441"/>
    <w:rsid w:val="00DD5FA4"/>
    <w:rsid w:val="00DE28ED"/>
    <w:rsid w:val="00E00DE7"/>
    <w:rsid w:val="00E01D57"/>
    <w:rsid w:val="00E0570B"/>
    <w:rsid w:val="00E2519A"/>
    <w:rsid w:val="00E440DC"/>
    <w:rsid w:val="00E605A0"/>
    <w:rsid w:val="00E77440"/>
    <w:rsid w:val="00E84AB3"/>
    <w:rsid w:val="00E9351D"/>
    <w:rsid w:val="00E95946"/>
    <w:rsid w:val="00EC56C6"/>
    <w:rsid w:val="00ED41D8"/>
    <w:rsid w:val="00ED7D92"/>
    <w:rsid w:val="00F00D9B"/>
    <w:rsid w:val="00F048EE"/>
    <w:rsid w:val="00F05CD2"/>
    <w:rsid w:val="00F114FF"/>
    <w:rsid w:val="00F179A4"/>
    <w:rsid w:val="00F226D0"/>
    <w:rsid w:val="00F37DF8"/>
    <w:rsid w:val="00F9443B"/>
    <w:rsid w:val="00FA6FB0"/>
    <w:rsid w:val="00FB3BEE"/>
    <w:rsid w:val="00FB5276"/>
    <w:rsid w:val="00FD771E"/>
    <w:rsid w:val="00FF7609"/>
    <w:rsid w:val="01DD0AC7"/>
    <w:rsid w:val="028E7B09"/>
    <w:rsid w:val="03512F94"/>
    <w:rsid w:val="04A528DC"/>
    <w:rsid w:val="04DE0ACC"/>
    <w:rsid w:val="056D5529"/>
    <w:rsid w:val="05F22918"/>
    <w:rsid w:val="066A3344"/>
    <w:rsid w:val="06E30FBB"/>
    <w:rsid w:val="083B3D14"/>
    <w:rsid w:val="091F154B"/>
    <w:rsid w:val="09480681"/>
    <w:rsid w:val="09992462"/>
    <w:rsid w:val="09A6627C"/>
    <w:rsid w:val="0AED38CD"/>
    <w:rsid w:val="0B852785"/>
    <w:rsid w:val="0BE73793"/>
    <w:rsid w:val="0C1730CF"/>
    <w:rsid w:val="0C343A0A"/>
    <w:rsid w:val="0C5D2DFF"/>
    <w:rsid w:val="0D3E43FB"/>
    <w:rsid w:val="0E3B2AF6"/>
    <w:rsid w:val="0E6E5BA9"/>
    <w:rsid w:val="12416323"/>
    <w:rsid w:val="1246381D"/>
    <w:rsid w:val="16E21E86"/>
    <w:rsid w:val="17137294"/>
    <w:rsid w:val="18F515EA"/>
    <w:rsid w:val="19197FE0"/>
    <w:rsid w:val="193F0F2B"/>
    <w:rsid w:val="19753873"/>
    <w:rsid w:val="1A300675"/>
    <w:rsid w:val="1A907B5F"/>
    <w:rsid w:val="1C696D5E"/>
    <w:rsid w:val="1D295D99"/>
    <w:rsid w:val="1DA1022D"/>
    <w:rsid w:val="1E6B70C9"/>
    <w:rsid w:val="20BF1ACE"/>
    <w:rsid w:val="21F30FAA"/>
    <w:rsid w:val="225C3285"/>
    <w:rsid w:val="226A5EF1"/>
    <w:rsid w:val="22E35DA4"/>
    <w:rsid w:val="23FA0F96"/>
    <w:rsid w:val="25A37717"/>
    <w:rsid w:val="26EF5EAD"/>
    <w:rsid w:val="278F3E5B"/>
    <w:rsid w:val="28256376"/>
    <w:rsid w:val="283C4EFB"/>
    <w:rsid w:val="28DC03E0"/>
    <w:rsid w:val="2B404DA6"/>
    <w:rsid w:val="2C5B7AA5"/>
    <w:rsid w:val="2D732CA1"/>
    <w:rsid w:val="2D7F79FA"/>
    <w:rsid w:val="2EB33AA9"/>
    <w:rsid w:val="2EE82C4B"/>
    <w:rsid w:val="2EEB1BFB"/>
    <w:rsid w:val="2F00163A"/>
    <w:rsid w:val="2F7F0771"/>
    <w:rsid w:val="30FC166E"/>
    <w:rsid w:val="32D30609"/>
    <w:rsid w:val="357C1909"/>
    <w:rsid w:val="37B879F5"/>
    <w:rsid w:val="38645A6B"/>
    <w:rsid w:val="38CE4E96"/>
    <w:rsid w:val="3906146D"/>
    <w:rsid w:val="39C5786C"/>
    <w:rsid w:val="39F742DC"/>
    <w:rsid w:val="3C792E24"/>
    <w:rsid w:val="3CA945F5"/>
    <w:rsid w:val="3D464716"/>
    <w:rsid w:val="3E2537F7"/>
    <w:rsid w:val="3FAF0284"/>
    <w:rsid w:val="4014269C"/>
    <w:rsid w:val="41046068"/>
    <w:rsid w:val="411B719E"/>
    <w:rsid w:val="431173B5"/>
    <w:rsid w:val="43E71A15"/>
    <w:rsid w:val="43EC5D0E"/>
    <w:rsid w:val="440E78AD"/>
    <w:rsid w:val="44192FE7"/>
    <w:rsid w:val="441B5BD3"/>
    <w:rsid w:val="446846FB"/>
    <w:rsid w:val="45D82A83"/>
    <w:rsid w:val="45F06199"/>
    <w:rsid w:val="47836BED"/>
    <w:rsid w:val="48A72905"/>
    <w:rsid w:val="48F22DC5"/>
    <w:rsid w:val="4985339C"/>
    <w:rsid w:val="49BE3665"/>
    <w:rsid w:val="49E74A72"/>
    <w:rsid w:val="4A2E3AC3"/>
    <w:rsid w:val="4A662C10"/>
    <w:rsid w:val="4A994FAC"/>
    <w:rsid w:val="4AB3755C"/>
    <w:rsid w:val="4AE26626"/>
    <w:rsid w:val="4BB53844"/>
    <w:rsid w:val="4C0417D0"/>
    <w:rsid w:val="4C12449B"/>
    <w:rsid w:val="4C1619D7"/>
    <w:rsid w:val="4CB47576"/>
    <w:rsid w:val="4CBC4797"/>
    <w:rsid w:val="510969A2"/>
    <w:rsid w:val="51225785"/>
    <w:rsid w:val="51C11351"/>
    <w:rsid w:val="523F4601"/>
    <w:rsid w:val="52AD176F"/>
    <w:rsid w:val="52C60B12"/>
    <w:rsid w:val="54C346CC"/>
    <w:rsid w:val="57732210"/>
    <w:rsid w:val="584C751F"/>
    <w:rsid w:val="59003427"/>
    <w:rsid w:val="598F3BF9"/>
    <w:rsid w:val="5C230885"/>
    <w:rsid w:val="5CC231CF"/>
    <w:rsid w:val="5D4C30B6"/>
    <w:rsid w:val="5D5913DB"/>
    <w:rsid w:val="5D5D4ED0"/>
    <w:rsid w:val="5DB40DD8"/>
    <w:rsid w:val="5E820325"/>
    <w:rsid w:val="5F8C3B7C"/>
    <w:rsid w:val="5FE804C4"/>
    <w:rsid w:val="61A640AB"/>
    <w:rsid w:val="61FB5C05"/>
    <w:rsid w:val="62CE1970"/>
    <w:rsid w:val="64387A9B"/>
    <w:rsid w:val="64C41236"/>
    <w:rsid w:val="673C2890"/>
    <w:rsid w:val="688F54B9"/>
    <w:rsid w:val="696E76F1"/>
    <w:rsid w:val="699D6BDF"/>
    <w:rsid w:val="69FE1BF6"/>
    <w:rsid w:val="6BC93F2A"/>
    <w:rsid w:val="6DAD46A8"/>
    <w:rsid w:val="6FFA65D8"/>
    <w:rsid w:val="733615E7"/>
    <w:rsid w:val="733A2475"/>
    <w:rsid w:val="746F1962"/>
    <w:rsid w:val="7509528C"/>
    <w:rsid w:val="75967C85"/>
    <w:rsid w:val="77CA7307"/>
    <w:rsid w:val="799408D6"/>
    <w:rsid w:val="799C595D"/>
    <w:rsid w:val="79E83679"/>
    <w:rsid w:val="7B3345E5"/>
    <w:rsid w:val="7C4A653E"/>
    <w:rsid w:val="7E68223C"/>
    <w:rsid w:val="7E93375A"/>
    <w:rsid w:val="7EE60B74"/>
    <w:rsid w:val="7FF53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pPr>
      <w:widowControl w:val="0"/>
      <w:spacing w:line="363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3">
    <w:name w:val="Balloon Text"/>
    <w:basedOn w:val="a"/>
    <w:link w:val="Char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next w:val="a7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25</cp:revision>
  <cp:lastPrinted>2020-11-02T07:48:00Z</cp:lastPrinted>
  <dcterms:created xsi:type="dcterms:W3CDTF">2020-05-27T11:45:00Z</dcterms:created>
  <dcterms:modified xsi:type="dcterms:W3CDTF">2021-01-20T01:46:00Z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