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Benett Holmstrom</w:t>
      </w:r>
      <w:r w:rsidDel="00000000" w:rsidR="00000000" w:rsidRPr="00000000">
        <w:rPr>
          <w:rtl w:val="0"/>
        </w:rPr>
      </w:r>
    </w:p>
    <w:p w:rsidR="00000000" w:rsidDel="00000000" w:rsidP="00000000" w:rsidRDefault="00000000" w:rsidRPr="00000000" w14:paraId="00000002">
      <w:pPr>
        <w:pageBreakBefore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4/23/21</w:t>
      </w:r>
    </w:p>
    <w:p w:rsidR="00000000" w:rsidDel="00000000" w:rsidP="00000000" w:rsidRDefault="00000000" w:rsidRPr="00000000" w14:paraId="00000003">
      <w:pPr>
        <w:pageBreakBefore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ENGL 2601</w:t>
      </w:r>
    </w:p>
    <w:p w:rsidR="00000000" w:rsidDel="00000000" w:rsidP="00000000" w:rsidRDefault="00000000" w:rsidRPr="00000000" w14:paraId="00000004">
      <w:pPr>
        <w:pageBreakBefore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 Paula Derdiger </w:t>
      </w:r>
    </w:p>
    <w:p w:rsidR="00000000" w:rsidDel="00000000" w:rsidP="00000000" w:rsidRDefault="00000000" w:rsidRPr="00000000" w14:paraId="00000005">
      <w:pPr>
        <w:pageBreakBefore w:val="0"/>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pageBreakBefore w:val="0"/>
        <w:spacing w:line="48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“To Be as Brave as Your Heart Wishes”: Analyzing Honor in </w:t>
      </w:r>
      <w:r w:rsidDel="00000000" w:rsidR="00000000" w:rsidRPr="00000000">
        <w:rPr>
          <w:rFonts w:ascii="Times New Roman" w:cs="Times New Roman" w:eastAsia="Times New Roman" w:hAnsi="Times New Roman"/>
          <w:i w:val="1"/>
          <w:sz w:val="24"/>
          <w:szCs w:val="24"/>
          <w:rtl w:val="0"/>
        </w:rPr>
        <w:t xml:space="preserve">Kagemusha</w:t>
      </w:r>
    </w:p>
    <w:p w:rsidR="00000000" w:rsidDel="00000000" w:rsidP="00000000" w:rsidRDefault="00000000" w:rsidRPr="00000000" w14:paraId="00000007">
      <w:pPr>
        <w:pageBreakBefore w:val="0"/>
        <w:spacing w:line="480" w:lineRule="auto"/>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08">
      <w:pPr>
        <w:pageBreakBefore w:val="0"/>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Kagemusha </w:t>
      </w:r>
      <w:r w:rsidDel="00000000" w:rsidR="00000000" w:rsidRPr="00000000">
        <w:rPr>
          <w:rFonts w:ascii="Times New Roman" w:cs="Times New Roman" w:eastAsia="Times New Roman" w:hAnsi="Times New Roman"/>
          <w:sz w:val="24"/>
          <w:szCs w:val="24"/>
          <w:rtl w:val="0"/>
        </w:rPr>
        <w:t xml:space="preserve">(Japan, Dir. Akira Kurosawa) (“shadow warrior”) tells the story of a thief who impersonates a revered Japanese </w:t>
      </w:r>
      <w:r w:rsidDel="00000000" w:rsidR="00000000" w:rsidRPr="00000000">
        <w:rPr>
          <w:rFonts w:ascii="Times New Roman" w:cs="Times New Roman" w:eastAsia="Times New Roman" w:hAnsi="Times New Roman"/>
          <w:i w:val="1"/>
          <w:sz w:val="24"/>
          <w:szCs w:val="24"/>
          <w:rtl w:val="0"/>
        </w:rPr>
        <w:t xml:space="preserve">daimyō</w:t>
      </w:r>
      <w:r w:rsidDel="00000000" w:rsidR="00000000" w:rsidRPr="00000000">
        <w:rPr>
          <w:rFonts w:ascii="Times New Roman" w:cs="Times New Roman" w:eastAsia="Times New Roman" w:hAnsi="Times New Roman"/>
          <w:sz w:val="24"/>
          <w:szCs w:val="24"/>
          <w:rtl w:val="0"/>
        </w:rPr>
        <w:t xml:space="preserve"> (“powerful Japanese magnate”) by the name of Shingen, the leader of the Takeda clan. When Shingen loses his life during a massive siege, a new demand arises for a worthy heir to the throne. The nobles suggest that by nominating Shingen’s imposter as the heir, they can utilize his appearance to deter their rival clans from the fact that Shingen actually passed. There is now much to ponder for the thief: shall he leverage his newfound status as a means to garner more fortune, or will he seek to fulfill the honor of his title of </w:t>
      </w:r>
      <w:r w:rsidDel="00000000" w:rsidR="00000000" w:rsidRPr="00000000">
        <w:rPr>
          <w:rFonts w:ascii="Times New Roman" w:cs="Times New Roman" w:eastAsia="Times New Roman" w:hAnsi="Times New Roman"/>
          <w:i w:val="1"/>
          <w:sz w:val="24"/>
          <w:szCs w:val="24"/>
          <w:rtl w:val="0"/>
        </w:rPr>
        <w:t xml:space="preserve">daimyō</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Kagemusha</w:t>
      </w:r>
      <w:r w:rsidDel="00000000" w:rsidR="00000000" w:rsidRPr="00000000">
        <w:rPr>
          <w:rFonts w:ascii="Times New Roman" w:cs="Times New Roman" w:eastAsia="Times New Roman" w:hAnsi="Times New Roman"/>
          <w:sz w:val="24"/>
          <w:szCs w:val="24"/>
          <w:rtl w:val="0"/>
        </w:rPr>
        <w:t xml:space="preserve"> uses Japanese culture and history to share the value of honor as found in others. </w:t>
      </w:r>
    </w:p>
    <w:p w:rsidR="00000000" w:rsidDel="00000000" w:rsidP="00000000" w:rsidRDefault="00000000" w:rsidRPr="00000000" w14:paraId="00000009">
      <w:pPr>
        <w:pageBreakBefore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use of Japanese culture is made prevalent in </w:t>
      </w:r>
      <w:r w:rsidDel="00000000" w:rsidR="00000000" w:rsidRPr="00000000">
        <w:rPr>
          <w:rFonts w:ascii="Times New Roman" w:cs="Times New Roman" w:eastAsia="Times New Roman" w:hAnsi="Times New Roman"/>
          <w:i w:val="1"/>
          <w:sz w:val="24"/>
          <w:szCs w:val="24"/>
          <w:rtl w:val="0"/>
        </w:rPr>
        <w:t xml:space="preserve">Kagemusha</w:t>
      </w:r>
      <w:r w:rsidDel="00000000" w:rsidR="00000000" w:rsidRPr="00000000">
        <w:rPr>
          <w:rFonts w:ascii="Times New Roman" w:cs="Times New Roman" w:eastAsia="Times New Roman" w:hAnsi="Times New Roman"/>
          <w:sz w:val="24"/>
          <w:szCs w:val="24"/>
          <w:rtl w:val="0"/>
        </w:rPr>
        <w:t xml:space="preserve"> through the use of many cinematic techniques, with the most notable being mise en scene. The atmosphere created by the rural setting of this film, the accuracy of the meticulously designed outfits and makeup, and the aesthetic of the whole design of the space truly immerses the audience into a historically accurate re-creation of medieval Japan (Marsha, 44): a time where honor and respect was valued by some more than even the most rare and valuable commodities.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However, for those who did not have anyone to share loyalty with, they may have resorted to more petty acts, which in </w:t>
      </w:r>
      <w:r w:rsidDel="00000000" w:rsidR="00000000" w:rsidRPr="00000000">
        <w:rPr>
          <w:rFonts w:ascii="Times New Roman" w:cs="Times New Roman" w:eastAsia="Times New Roman" w:hAnsi="Times New Roman"/>
          <w:i w:val="1"/>
          <w:sz w:val="24"/>
          <w:szCs w:val="24"/>
          <w:rtl w:val="0"/>
        </w:rPr>
        <w:t xml:space="preserve">Kagemusha</w:t>
      </w:r>
      <w:r w:rsidDel="00000000" w:rsidR="00000000" w:rsidRPr="00000000">
        <w:rPr>
          <w:rFonts w:ascii="Times New Roman" w:cs="Times New Roman" w:eastAsia="Times New Roman" w:hAnsi="Times New Roman"/>
          <w:sz w:val="24"/>
          <w:szCs w:val="24"/>
          <w:rtl w:val="0"/>
        </w:rPr>
        <w:t xml:space="preserve">’s case, is theft. This is where the film’s mise en scene is integral. Modern culture across the world would typically disgrace those who commit any sort of petty act. However, the audience is reminded of the value of honor among one another, thanks to the immersion provided by the mise en scene.</w:t>
      </w:r>
    </w:p>
    <w:p w:rsidR="00000000" w:rsidDel="00000000" w:rsidP="00000000" w:rsidRDefault="00000000" w:rsidRPr="00000000" w14:paraId="0000000A">
      <w:pPr>
        <w:pageBreakBefore w:val="0"/>
        <w:spacing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also a lot of power in how </w:t>
      </w:r>
      <w:r w:rsidDel="00000000" w:rsidR="00000000" w:rsidRPr="00000000">
        <w:rPr>
          <w:rFonts w:ascii="Times New Roman" w:cs="Times New Roman" w:eastAsia="Times New Roman" w:hAnsi="Times New Roman"/>
          <w:i w:val="1"/>
          <w:sz w:val="24"/>
          <w:szCs w:val="24"/>
          <w:rtl w:val="0"/>
        </w:rPr>
        <w:t xml:space="preserve">Kagemusha </w:t>
      </w:r>
      <w:r w:rsidDel="00000000" w:rsidR="00000000" w:rsidRPr="00000000">
        <w:rPr>
          <w:rFonts w:ascii="Times New Roman" w:cs="Times New Roman" w:eastAsia="Times New Roman" w:hAnsi="Times New Roman"/>
          <w:sz w:val="24"/>
          <w:szCs w:val="24"/>
          <w:rtl w:val="0"/>
        </w:rPr>
        <w:t xml:space="preserve">is shot, in the way that its personal themes are exemplified with each shot. In Stanley Kauffmann’s article, “Stanley Kaufmann on films”, he takes a moment to shed some light on the visuals of </w:t>
      </w:r>
      <w:r w:rsidDel="00000000" w:rsidR="00000000" w:rsidRPr="00000000">
        <w:rPr>
          <w:rFonts w:ascii="Times New Roman" w:cs="Times New Roman" w:eastAsia="Times New Roman" w:hAnsi="Times New Roman"/>
          <w:i w:val="1"/>
          <w:sz w:val="24"/>
          <w:szCs w:val="24"/>
          <w:rtl w:val="0"/>
        </w:rPr>
        <w:t xml:space="preserve">Kagemusha</w:t>
      </w:r>
      <w:r w:rsidDel="00000000" w:rsidR="00000000" w:rsidRPr="00000000">
        <w:rPr>
          <w:rFonts w:ascii="Times New Roman" w:cs="Times New Roman" w:eastAsia="Times New Roman" w:hAnsi="Times New Roman"/>
          <w:sz w:val="24"/>
          <w:szCs w:val="24"/>
          <w:rtl w:val="0"/>
        </w:rPr>
        <w:t xml:space="preserve">: “The color scheme is enriched, heightened, to keep the film out of realism and in ‘ballad’, though much of the specific action is graphic. But, of course, most of the impact comes from Kurosawa’s imperial grip, particularly from his two fields of motion: that of the camera and that of his actors” (32).  </w:t>
      </w:r>
    </w:p>
    <w:p w:rsidR="00000000" w:rsidDel="00000000" w:rsidP="00000000" w:rsidRDefault="00000000" w:rsidRPr="00000000" w14:paraId="0000000B">
      <w:pPr>
        <w:pageBreakBefore w:val="0"/>
        <w:spacing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example of this phenomena is the exemplification of one of Shingen's favorite proverbs - “Do not move. A mountain does not move.”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During a briefing in which the nobles of the Takeda clan are discussing the strategy behind an assault on a castle, Shingen’s imposter is asked, “What does our lord think?” At this instance, the camera is posed at a canted angle behind the imposter such that it is facing his subordinates at about a 30° angle, all dressed incredibly in vivid colors. The audience is given much time to take in the visuals of this shot, as it lasts for at least 23 seconds. Finally an answer is announced - “Do not move”, the imposter says, which leads to a cut focusing on the leader at a flat 90° angle, emphasizing his powerful presence in the room. Many rapid cuts are made which focus on the various nobles in the room stiffening their posture and focusing their attention on the </w:t>
      </w:r>
      <w:r w:rsidDel="00000000" w:rsidR="00000000" w:rsidRPr="00000000">
        <w:rPr>
          <w:rFonts w:ascii="Times New Roman" w:cs="Times New Roman" w:eastAsia="Times New Roman" w:hAnsi="Times New Roman"/>
          <w:i w:val="1"/>
          <w:sz w:val="24"/>
          <w:szCs w:val="24"/>
          <w:rtl w:val="0"/>
        </w:rPr>
        <w:t xml:space="preserve">daimyō, </w:t>
      </w:r>
      <w:r w:rsidDel="00000000" w:rsidR="00000000" w:rsidRPr="00000000">
        <w:rPr>
          <w:rFonts w:ascii="Times New Roman" w:cs="Times New Roman" w:eastAsia="Times New Roman" w:hAnsi="Times New Roman"/>
          <w:sz w:val="24"/>
          <w:szCs w:val="24"/>
          <w:rtl w:val="0"/>
        </w:rPr>
        <w:t xml:space="preserve">as he finally says, “a mountain does not move.” As he says this, the shot returns to the 90° angle it held before, focusing back onto the imposter and centralizing his power. The shot is remarkably powerful; it is nearly perfect in symmetry, with one exception being his sword, which rests on a stand to his left. The imposter is in the dead center of the shot as he rests upon his </w:t>
      </w:r>
      <w:r w:rsidDel="00000000" w:rsidR="00000000" w:rsidRPr="00000000">
        <w:rPr>
          <w:rFonts w:ascii="Times New Roman" w:cs="Times New Roman" w:eastAsia="Times New Roman" w:hAnsi="Times New Roman"/>
          <w:i w:val="1"/>
          <w:sz w:val="24"/>
          <w:szCs w:val="24"/>
          <w:rtl w:val="0"/>
        </w:rPr>
        <w:t xml:space="preserve">daiza </w:t>
      </w:r>
      <w:r w:rsidDel="00000000" w:rsidR="00000000" w:rsidRPr="00000000">
        <w:rPr>
          <w:rFonts w:ascii="Times New Roman" w:cs="Times New Roman" w:eastAsia="Times New Roman" w:hAnsi="Times New Roman"/>
          <w:sz w:val="24"/>
          <w:szCs w:val="24"/>
          <w:rtl w:val="0"/>
        </w:rPr>
        <w:t xml:space="preserve">(a special seat which those of lordship would sit on), with an engraving of the Takeda clan’s logo on the wall behind him, two candles on either side of him, and his servants framing the outside. The shot remarkably bears a resemblance to the meaning of Shingen’s proverb - generally, it means that one should hold their ground in every way, physically and metaphysically. Hold fast to your footing, ideas, beliefs, morals, everything - and let no one move you. The shot presents itself just as if it were listening to that proverb as well - as the camera focuses on the imposter, the camera is solid, unmoved, and focused on the one in power. </w:t>
      </w:r>
    </w:p>
    <w:p w:rsidR="00000000" w:rsidDel="00000000" w:rsidP="00000000" w:rsidRDefault="00000000" w:rsidRPr="00000000" w14:paraId="0000000C">
      <w:pPr>
        <w:pageBreakBefore w:val="0"/>
        <w:spacing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Kagemusha </w:t>
      </w:r>
      <w:r w:rsidDel="00000000" w:rsidR="00000000" w:rsidRPr="00000000">
        <w:rPr>
          <w:rFonts w:ascii="Times New Roman" w:cs="Times New Roman" w:eastAsia="Times New Roman" w:hAnsi="Times New Roman"/>
          <w:sz w:val="24"/>
          <w:szCs w:val="24"/>
          <w:rtl w:val="0"/>
        </w:rPr>
        <w:t xml:space="preserve">not only uses its visceral cinematography to capture the idea of valuing honor in one another, but it also uses the societal structure of 16th century Japan as a medium to criticize today’s societal structures. Kurosawa does not wish for us to change our entire culture to how it was back then, however he simply wishes for us to observe the things that he believes went right. One scene that Kurosawa uses to emphasize this ideal is one where the imposter attempts to steal a piece of Shingen’s urn, unknowing as to who it belongs to. </w:t>
      </w:r>
    </w:p>
    <w:p w:rsidR="00000000" w:rsidDel="00000000" w:rsidP="00000000" w:rsidRDefault="00000000" w:rsidRPr="00000000" w14:paraId="0000000D">
      <w:pPr>
        <w:pageBreakBefore w:val="0"/>
        <w:spacing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scene begins with the imposter sneaking into the room in which Shingen’s urn is kept. Instantly, the audience is diegetically brought into the sonic world of the film - it is completely silent, with respect to the soft footsteps of the imposter which can be heard repeatedly. He slides over to the large urn, and sweeps the smooth silk off to the side, producing the sound of a silent, smooth breeze. He then draws a tool, and begins lightly chipping away at the urn, making dead yet resonant thuds. As he finishes chipping out two large chunks, he sets them aside and grabs a candle to illuminate the urn. To his surprise, he finds Shingen’s lifeless body resting inside. Panicking, he drops his candle on the floor, and his tool into a nearby pot - creating what feels like the loudest sound human ears have ever heard, considering how silent the scene had been until that point. The thief sits in shock and dismay, already aware of his impending doom as the rushing footsteps of soldiers are instantly heard from the floor below him. The end result of this scene would shock most - briefly after this instance, the imposter is appointed to take the head of the Takeda clan. </w:t>
      </w:r>
    </w:p>
    <w:p w:rsidR="00000000" w:rsidDel="00000000" w:rsidP="00000000" w:rsidRDefault="00000000" w:rsidRPr="00000000" w14:paraId="0000000E">
      <w:pPr>
        <w:pageBreakBefore w:val="0"/>
        <w:spacing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happens after a conversation with Shingen’s brother, Nobukado, discussing whether or not the imposter is really fit to take the throne. The imposter believes that he has failed, and mentions, “The lord is dead. I have no duty to anyone else.” However, Nobukado counters his regard with, “...he wanted his death to be kept a secret. Only those who were close to him should know. I was already intending to tell you, too.” What this shows is that the nobles of the Takeda clan had already honored the imposter, and even after his dire wrongdoing, they chose to maintain their faith in him. In their article </w:t>
      </w:r>
      <w:r w:rsidDel="00000000" w:rsidR="00000000" w:rsidRPr="00000000">
        <w:rPr>
          <w:rFonts w:ascii="Times New Roman" w:cs="Times New Roman" w:eastAsia="Times New Roman" w:hAnsi="Times New Roman"/>
          <w:i w:val="1"/>
          <w:sz w:val="24"/>
          <w:szCs w:val="24"/>
          <w:rtl w:val="0"/>
        </w:rPr>
        <w:t xml:space="preserve">The Double and the Theme of Selflessness in </w:t>
      </w:r>
      <w:r w:rsidDel="00000000" w:rsidR="00000000" w:rsidRPr="00000000">
        <w:rPr>
          <w:rFonts w:ascii="Times New Roman" w:cs="Times New Roman" w:eastAsia="Times New Roman" w:hAnsi="Times New Roman"/>
          <w:sz w:val="24"/>
          <w:szCs w:val="24"/>
          <w:rtl w:val="0"/>
        </w:rPr>
        <w:t xml:space="preserve">Kagemusha</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Malpezzi and Clements mention an important theme of the film which this scene holds a massive tie to - “</w:t>
      </w:r>
      <w:r w:rsidDel="00000000" w:rsidR="00000000" w:rsidRPr="00000000">
        <w:rPr>
          <w:rFonts w:ascii="Times New Roman" w:cs="Times New Roman" w:eastAsia="Times New Roman" w:hAnsi="Times New Roman"/>
          <w:i w:val="1"/>
          <w:sz w:val="24"/>
          <w:szCs w:val="24"/>
          <w:rtl w:val="0"/>
        </w:rPr>
        <w:t xml:space="preserve">Kagemusha</w:t>
      </w:r>
      <w:r w:rsidDel="00000000" w:rsidR="00000000" w:rsidRPr="00000000">
        <w:rPr>
          <w:rFonts w:ascii="Times New Roman" w:cs="Times New Roman" w:eastAsia="Times New Roman" w:hAnsi="Times New Roman"/>
          <w:sz w:val="24"/>
          <w:szCs w:val="24"/>
          <w:rtl w:val="0"/>
        </w:rPr>
        <w:t xml:space="preserve"> is not concerned with the disintegration of self, but with the integration of the whole, the unifying of the social body” (206), where the mentioned “unifying of the social body” in this case can be found in Nobukado’s trust in the imposter.</w:t>
      </w:r>
      <w:r w:rsidDel="00000000" w:rsidR="00000000" w:rsidRPr="00000000">
        <w:rPr>
          <w:rtl w:val="0"/>
        </w:rPr>
      </w:r>
    </w:p>
    <w:p w:rsidR="00000000" w:rsidDel="00000000" w:rsidP="00000000" w:rsidRDefault="00000000" w:rsidRPr="00000000" w14:paraId="0000000F">
      <w:pPr>
        <w:pageBreakBefore w:val="0"/>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Japanese culture further strengthens the recurring theme of honor in the final few scenes. In one of these final scenes, the imposter reveals his true character when he attempts to ride Shingen’s horse - a steed which only Shingen himself could ride. This mistake costs him greatly when he inevitably falls off of the horse, which causes a stir among those nearby. The first to rush to the scene are his maidens, and when they look at his body for any glaring injuries, they notice that he is missing a massive scar that Shingen had, which should be marking his back. Upon this discovery, everyone grows worried, and after a council among the nobles, the decision is made that the imposter can no longer hold his place as Shingen’s double. The imposter, distraught and wounded, stands at the gate as a messenger hands him a letter from the other nobles, thanking him for his service. Even after what could be considered a critical failure on the imposter’s behalf, the nobles still hold fast to their code; they honor and respect the double for sacrificing his individuality, rather than disgrace him for his failure. This is the beginning of a paramount sequence - the imposter’s final arc. </w:t>
      </w:r>
    </w:p>
    <w:p w:rsidR="00000000" w:rsidDel="00000000" w:rsidP="00000000" w:rsidRDefault="00000000" w:rsidRPr="00000000" w14:paraId="00000010">
      <w:pPr>
        <w:pageBreakBefore w:val="0"/>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scene of the film, a bloody battle at Nagashino against a rival clan, displays the thief’s final arc - his final step into virtue. As he was cast out of the clan, the thief could not officially participate by the sides of his former colleagues in the battle; he could only stand in the weeds and watch in dismay. Various match-on-action cuts show volleys of rifle fire striking down line upon line of horseback soldiers, ultimately sewing the fate of the Takeda clan. However, the thief is not yet satisfied. He picks up the spear of a fallen warrior, and makes a helpless charge towards the enemy’s fortification. He is shot several times, and is now bound to death. In his final moments, he attempts to force his lifeless body through a river to retrieve his former clan’s banner. </w:t>
      </w:r>
    </w:p>
    <w:p w:rsidR="00000000" w:rsidDel="00000000" w:rsidP="00000000" w:rsidRDefault="00000000" w:rsidRPr="00000000" w14:paraId="00000011">
      <w:pPr>
        <w:pageBreakBefore w:val="0"/>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 though the imposter was removed from the Takeda clan, he was able to form an honorable legacy, transitioning from someone of vice to someone of virtue. He was willing to sacrifice his individuality for the sake of those around him, and in turn, he let his clan live out the will of their lost </w:t>
      </w:r>
      <w:r w:rsidDel="00000000" w:rsidR="00000000" w:rsidRPr="00000000">
        <w:rPr>
          <w:rFonts w:ascii="Times New Roman" w:cs="Times New Roman" w:eastAsia="Times New Roman" w:hAnsi="Times New Roman"/>
          <w:i w:val="1"/>
          <w:sz w:val="24"/>
          <w:szCs w:val="24"/>
          <w:rtl w:val="0"/>
        </w:rPr>
        <w:t xml:space="preserve">daimyō </w:t>
      </w:r>
      <w:r w:rsidDel="00000000" w:rsidR="00000000" w:rsidRPr="00000000">
        <w:rPr>
          <w:rFonts w:ascii="Times New Roman" w:cs="Times New Roman" w:eastAsia="Times New Roman" w:hAnsi="Times New Roman"/>
          <w:sz w:val="24"/>
          <w:szCs w:val="24"/>
          <w:rtl w:val="0"/>
        </w:rPr>
        <w:t xml:space="preserve">for as long as they could. This finale is Kurosawa’s way of communicating the virtues of 16th century Japanese culture. Treating one another with rectitude, benevolence, and honor will open a wellspring of possibilities, as well as generate a supreme understanding for those who believe they don’t deserve such treatment (the thief, in </w:t>
      </w:r>
      <w:r w:rsidDel="00000000" w:rsidR="00000000" w:rsidRPr="00000000">
        <w:rPr>
          <w:rFonts w:ascii="Times New Roman" w:cs="Times New Roman" w:eastAsia="Times New Roman" w:hAnsi="Times New Roman"/>
          <w:i w:val="1"/>
          <w:sz w:val="24"/>
          <w:szCs w:val="24"/>
          <w:rtl w:val="0"/>
        </w:rPr>
        <w:t xml:space="preserve">Kagemusha</w:t>
      </w:r>
      <w:r w:rsidDel="00000000" w:rsidR="00000000" w:rsidRPr="00000000">
        <w:rPr>
          <w:rFonts w:ascii="Times New Roman" w:cs="Times New Roman" w:eastAsia="Times New Roman" w:hAnsi="Times New Roman"/>
          <w:sz w:val="24"/>
          <w:szCs w:val="24"/>
          <w:rtl w:val="0"/>
        </w:rPr>
        <w:t xml:space="preserve">’s case). To quote Shingen, “It is important to be as brave as your heart wishes.”</w:t>
      </w:r>
      <w:r w:rsidDel="00000000" w:rsidR="00000000" w:rsidRPr="00000000">
        <w:rPr>
          <w:rtl w:val="0"/>
        </w:rPr>
      </w:r>
    </w:p>
    <w:p w:rsidR="00000000" w:rsidDel="00000000" w:rsidP="00000000" w:rsidRDefault="00000000" w:rsidRPr="00000000" w14:paraId="00000012">
      <w:pPr>
        <w:pageBreakBefore w:val="0"/>
        <w:spacing w:line="480" w:lineRule="auto"/>
        <w:jc w:val="left"/>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13">
      <w:pPr>
        <w:pageBreakBefore w:val="0"/>
        <w:spacing w:line="480" w:lineRule="auto"/>
        <w:jc w:val="left"/>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14">
      <w:pPr>
        <w:pageBreakBefore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 Cited</w:t>
      </w:r>
    </w:p>
    <w:p w:rsidR="00000000" w:rsidDel="00000000" w:rsidP="00000000" w:rsidRDefault="00000000" w:rsidRPr="00000000" w14:paraId="00000015">
      <w:pPr>
        <w:pageBreakBefore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Malpezzi, Frances M, and William M. Clements. “The Double and the Theme of Selflessness in </w:t>
      </w:r>
    </w:p>
    <w:p w:rsidR="00000000" w:rsidDel="00000000" w:rsidP="00000000" w:rsidRDefault="00000000" w:rsidRPr="00000000" w14:paraId="00000016">
      <w:pPr>
        <w:pageBreakBefore w:val="0"/>
        <w:spacing w:line="480" w:lineRule="auto"/>
        <w:ind w:left="27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‘Kagemusha’”. </w:t>
      </w:r>
      <w:r w:rsidDel="00000000" w:rsidR="00000000" w:rsidRPr="00000000">
        <w:rPr>
          <w:rFonts w:ascii="Times New Roman" w:cs="Times New Roman" w:eastAsia="Times New Roman" w:hAnsi="Times New Roman"/>
          <w:i w:val="1"/>
          <w:sz w:val="24"/>
          <w:szCs w:val="24"/>
          <w:rtl w:val="0"/>
        </w:rPr>
        <w:t xml:space="preserve">Literature Film Quarterly, </w:t>
      </w:r>
      <w:r w:rsidDel="00000000" w:rsidR="00000000" w:rsidRPr="00000000">
        <w:rPr>
          <w:rFonts w:ascii="Times New Roman" w:cs="Times New Roman" w:eastAsia="Times New Roman" w:hAnsi="Times New Roman"/>
          <w:sz w:val="24"/>
          <w:szCs w:val="24"/>
          <w:rtl w:val="0"/>
        </w:rPr>
        <w:t xml:space="preserve">vol. 17, no. 3, 1 Sep. 1989, pp. 202-207. </w:t>
      </w:r>
      <w:r w:rsidDel="00000000" w:rsidR="00000000" w:rsidRPr="00000000">
        <w:rPr>
          <w:rFonts w:ascii="Times New Roman" w:cs="Times New Roman" w:eastAsia="Times New Roman" w:hAnsi="Times New Roman"/>
          <w:i w:val="1"/>
          <w:sz w:val="24"/>
          <w:szCs w:val="24"/>
          <w:rtl w:val="0"/>
        </w:rPr>
        <w:t xml:space="preserve">EBSCOhost, </w:t>
      </w:r>
      <w:r w:rsidDel="00000000" w:rsidR="00000000" w:rsidRPr="00000000">
        <w:rPr>
          <w:rFonts w:ascii="Times New Roman" w:cs="Times New Roman" w:eastAsia="Times New Roman" w:hAnsi="Times New Roman"/>
          <w:sz w:val="24"/>
          <w:szCs w:val="24"/>
          <w:rtl w:val="0"/>
        </w:rPr>
        <w:t xml:space="preserve">search: </w:t>
      </w:r>
      <w:hyperlink r:id="rId6">
        <w:r w:rsidDel="00000000" w:rsidR="00000000" w:rsidRPr="00000000">
          <w:rPr>
            <w:rFonts w:ascii="Times New Roman" w:cs="Times New Roman" w:eastAsia="Times New Roman" w:hAnsi="Times New Roman"/>
            <w:color w:val="1155cc"/>
            <w:sz w:val="24"/>
            <w:szCs w:val="24"/>
            <w:u w:val="single"/>
            <w:rtl w:val="0"/>
          </w:rPr>
          <w:t xml:space="preserve">The Double and the Theme of Selflessness in Kagemusha: EBSCOhost (umn.edu)</w:t>
        </w:r>
      </w:hyperlink>
      <w:r w:rsidDel="00000000" w:rsidR="00000000" w:rsidRPr="00000000">
        <w:rPr>
          <w:rtl w:val="0"/>
        </w:rPr>
      </w:r>
    </w:p>
    <w:p w:rsidR="00000000" w:rsidDel="00000000" w:rsidP="00000000" w:rsidRDefault="00000000" w:rsidRPr="00000000" w14:paraId="00000017">
      <w:pPr>
        <w:pageBreakBefore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18">
      <w:pPr>
        <w:pageBreakBefore w:val="0"/>
        <w:spacing w:line="48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Kinder, Marsha. “Review: Kagemusha (The Shadow Warrior) by Akira Kurosawa”. </w:t>
      </w:r>
      <w:r w:rsidDel="00000000" w:rsidR="00000000" w:rsidRPr="00000000">
        <w:rPr>
          <w:rFonts w:ascii="Times New Roman" w:cs="Times New Roman" w:eastAsia="Times New Roman" w:hAnsi="Times New Roman"/>
          <w:i w:val="1"/>
          <w:sz w:val="24"/>
          <w:szCs w:val="24"/>
          <w:rtl w:val="0"/>
        </w:rPr>
        <w:t xml:space="preserve">Film </w:t>
      </w:r>
    </w:p>
    <w:p w:rsidR="00000000" w:rsidDel="00000000" w:rsidP="00000000" w:rsidRDefault="00000000" w:rsidRPr="00000000" w14:paraId="00000019">
      <w:pPr>
        <w:pageBreakBefore w:val="0"/>
        <w:spacing w:line="480" w:lineRule="auto"/>
        <w:ind w:firstLine="27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Quarterly, </w:t>
      </w:r>
      <w:r w:rsidDel="00000000" w:rsidR="00000000" w:rsidRPr="00000000">
        <w:rPr>
          <w:rFonts w:ascii="Times New Roman" w:cs="Times New Roman" w:eastAsia="Times New Roman" w:hAnsi="Times New Roman"/>
          <w:sz w:val="24"/>
          <w:szCs w:val="24"/>
          <w:rtl w:val="0"/>
        </w:rPr>
        <w:t xml:space="preserve">vol. 34, no. 2, 1980. </w:t>
      </w:r>
      <w:r w:rsidDel="00000000" w:rsidR="00000000" w:rsidRPr="00000000">
        <w:rPr>
          <w:rFonts w:ascii="Times New Roman" w:cs="Times New Roman" w:eastAsia="Times New Roman" w:hAnsi="Times New Roman"/>
          <w:i w:val="1"/>
          <w:sz w:val="24"/>
          <w:szCs w:val="24"/>
          <w:rtl w:val="0"/>
        </w:rPr>
        <w:t xml:space="preserve">JSTOR,</w:t>
      </w:r>
    </w:p>
    <w:p w:rsidR="00000000" w:rsidDel="00000000" w:rsidP="00000000" w:rsidRDefault="00000000" w:rsidRPr="00000000" w14:paraId="0000001A">
      <w:pPr>
        <w:pageBreakBefore w:val="0"/>
        <w:spacing w:line="480" w:lineRule="auto"/>
        <w:ind w:firstLine="270"/>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color w:val="1155cc"/>
            <w:sz w:val="24"/>
            <w:szCs w:val="24"/>
            <w:u w:val="single"/>
            <w:rtl w:val="0"/>
          </w:rPr>
          <w:t xml:space="preserve">https://doi-org.libpdb.d.umn.edu:2443/10.2307/1211913</w:t>
        </w:r>
      </w:hyperlink>
      <w:r w:rsidDel="00000000" w:rsidR="00000000" w:rsidRPr="00000000">
        <w:rPr>
          <w:rtl w:val="0"/>
        </w:rPr>
      </w:r>
    </w:p>
    <w:p w:rsidR="00000000" w:rsidDel="00000000" w:rsidP="00000000" w:rsidRDefault="00000000" w:rsidRPr="00000000" w14:paraId="0000001B">
      <w:pPr>
        <w:pageBreakBefore w:val="0"/>
        <w:spacing w:line="480"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1C">
      <w:pPr>
        <w:pageBreakBefore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Kauffmann, Stanley. “Stanley Kauffmann on films.” </w:t>
      </w:r>
      <w:r w:rsidDel="00000000" w:rsidR="00000000" w:rsidRPr="00000000">
        <w:rPr>
          <w:rFonts w:ascii="Times New Roman" w:cs="Times New Roman" w:eastAsia="Times New Roman" w:hAnsi="Times New Roman"/>
          <w:i w:val="1"/>
          <w:sz w:val="24"/>
          <w:szCs w:val="24"/>
          <w:rtl w:val="0"/>
        </w:rPr>
        <w:t xml:space="preserve">New Republic, </w:t>
      </w:r>
      <w:r w:rsidDel="00000000" w:rsidR="00000000" w:rsidRPr="00000000">
        <w:rPr>
          <w:rFonts w:ascii="Times New Roman" w:cs="Times New Roman" w:eastAsia="Times New Roman" w:hAnsi="Times New Roman"/>
          <w:sz w:val="24"/>
          <w:szCs w:val="24"/>
          <w:rtl w:val="0"/>
        </w:rPr>
        <w:t xml:space="preserve">vol. 183, no. 17, 29 Nov. </w:t>
      </w:r>
    </w:p>
    <w:p w:rsidR="00000000" w:rsidDel="00000000" w:rsidP="00000000" w:rsidRDefault="00000000" w:rsidRPr="00000000" w14:paraId="0000001D">
      <w:pPr>
        <w:pageBreakBefore w:val="0"/>
        <w:spacing w:line="480" w:lineRule="auto"/>
        <w:ind w:left="27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1980 pp. 32-33. </w:t>
      </w:r>
      <w:r w:rsidDel="00000000" w:rsidR="00000000" w:rsidRPr="00000000">
        <w:rPr>
          <w:rFonts w:ascii="Times New Roman" w:cs="Times New Roman" w:eastAsia="Times New Roman" w:hAnsi="Times New Roman"/>
          <w:i w:val="1"/>
          <w:sz w:val="24"/>
          <w:szCs w:val="24"/>
          <w:rtl w:val="0"/>
        </w:rPr>
        <w:t xml:space="preserve">EBSCOhost, </w:t>
      </w:r>
      <w:r w:rsidDel="00000000" w:rsidR="00000000" w:rsidRPr="00000000">
        <w:rPr>
          <w:rFonts w:ascii="Times New Roman" w:cs="Times New Roman" w:eastAsia="Times New Roman" w:hAnsi="Times New Roman"/>
          <w:sz w:val="24"/>
          <w:szCs w:val="24"/>
          <w:rtl w:val="0"/>
        </w:rPr>
        <w:t xml:space="preserve">search:</w:t>
      </w:r>
      <w:hyperlink r:id="rId8">
        <w:r w:rsidDel="00000000" w:rsidR="00000000" w:rsidRPr="00000000">
          <w:rPr>
            <w:rFonts w:ascii="Times New Roman" w:cs="Times New Roman" w:eastAsia="Times New Roman" w:hAnsi="Times New Roman"/>
            <w:color w:val="1155cc"/>
            <w:sz w:val="24"/>
            <w:szCs w:val="24"/>
            <w:u w:val="single"/>
            <w:rtl w:val="0"/>
          </w:rPr>
          <w:t xml:space="preserve">Stanley Kauffmann on films.: EBSCOhost (umn.edu)</w:t>
        </w:r>
      </w:hyperlink>
      <w:r w:rsidDel="00000000" w:rsidR="00000000" w:rsidRPr="00000000">
        <w:rPr>
          <w:rtl w:val="0"/>
        </w:rPr>
      </w:r>
    </w:p>
    <w:p w:rsidR="00000000" w:rsidDel="00000000" w:rsidP="00000000" w:rsidRDefault="00000000" w:rsidRPr="00000000" w14:paraId="0000001E">
      <w:pPr>
        <w:pageBreakBefore w:val="0"/>
        <w:spacing w:line="480" w:lineRule="auto"/>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F">
      <w:pPr>
        <w:pageBreakBefore w:val="0"/>
        <w:spacing w:line="480" w:lineRule="auto"/>
        <w:jc w:val="left"/>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ab/>
      </w:r>
    </w:p>
    <w:p w:rsidR="00000000" w:rsidDel="00000000" w:rsidP="00000000" w:rsidRDefault="00000000" w:rsidRPr="00000000" w14:paraId="00000020">
      <w:pPr>
        <w:pageBreakBefore w:val="0"/>
        <w:spacing w:line="480" w:lineRule="auto"/>
        <w:jc w:val="left"/>
        <w:rPr>
          <w:rFonts w:ascii="Times New Roman" w:cs="Times New Roman" w:eastAsia="Times New Roman" w:hAnsi="Times New Roman"/>
          <w:sz w:val="24"/>
          <w:szCs w:val="24"/>
          <w:u w:val="singl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eb-a-ebscohost-com.libpdb.d.umn.edu:2443/ehost/detail/detail?vid=0&amp;sid=8c4e0cc0-e33f-44b9-bfe2-6eaa66182d2e%40sdc-v-sessmgr02&amp;bdata=JnNpdGU9ZWhvc3QtbGl2ZQ%3d%3d#AN=6906786&amp;db=aph" TargetMode="External"/><Relationship Id="rId7" Type="http://schemas.openxmlformats.org/officeDocument/2006/relationships/hyperlink" Target="https://doi-org.libpdb.d.umn.edu:2443/10.2307/1211913" TargetMode="External"/><Relationship Id="rId8" Type="http://schemas.openxmlformats.org/officeDocument/2006/relationships/hyperlink" Target="https://web-a-ebscohost-com.libpdb.d.umn.edu:2443/ehost/pdfviewer/pdfviewer?vid=15&amp;sid=908d8b3a-eddc-41c4-8bdf-6dd8001eefe4%40sdc-v-sessmgr0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