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סטייטמנט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otherwise attested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magistrate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Phipson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228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Wigmore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receiving such complaint or charge shall issue at his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discretion either a summons or warrant to compel the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האלטרנטיבית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first ground was that the evidence of Ahmed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Mahmud Hassan as to a meeting he had with one of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accused 25 days before the trial was inadmis sible in that it was a statement of the accused and as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did not come within the ambit of Section 9 of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Evidence Ordinance or Section 37 of the Trial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Upon Information Ordinance It is however quite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clear that it is not evidence within the meaning of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either of these sections It was evidence as to a line of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conduct of the accused which was relevant to the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issue and was clearly admissible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Now it is perfectly true that if it is thought by the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prosecution to lead evidence of a statement by an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accused person relating to the facts of the crime or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offense with which he is charged then such evidence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cannot be led unless in accordance with the statutory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provisions to which we have referred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object of leading that evidence was of course to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prove the existence of enmity thus to provide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of the existence of a motive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writing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form of a confession is in general immaterial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Thus it may be made either orally or in w iting and a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letter written by the prisoner to the prosecutor even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in custody although no caution was given him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receivable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ארדהיים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bankruptcy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law of evidence on certain points and to amend the law 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 points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1123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1 37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accused made at any time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against the accused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וצמידות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ובהסברי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608 607 606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Accordingly it seems generally conceded that the mere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contents of a written communication purporting to be a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particular person s are of themselves not sufficient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of genuineness Only in special circumstances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the contents reveal a knowledge or other traits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peculiarly referable to a single person could the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contents alone suffice However where the necessity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above mentioned does in fact exist namely the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impossibility of obtaining handwritten testimony it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would seem to follow that resort must be had to the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from contents at any rate in some circum stances or upon the facts of a particular case Such an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impossibility may exist for three sorts of writing a an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illiterate s writing by amanuensis b a typewritten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letter c printed matter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presents a similar impossibility whenever a signature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sometimes happens is also typewritten or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stamped and it would seem that a similar necessity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justifies a resort to evidence from contents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amanuensis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illiterate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amanuensis b a typewritten letter c printed matter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there were a serious possibility of abuse this step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would not be advisable But in fact there is also a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danger of abuse in the opposite direction for the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difficulty of authenticating such a document is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sometimes taken advantage of by those who wish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be able to disavow their authorship It is no doubt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question of experience i e which danger is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actually the greater On the whole it would seem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safe to authorize the trial court in discretion to allow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go to the jury a typewritten communication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bearing sufficient indication of authenticity in its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contents and letterhead Today however in view of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scientific development of the study of documents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microscopy and other arts the authorship of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typewritten documents can often be traced with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certainty to the specific machine used so that this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 of authentication does not then in principle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differ from that of using the handwriting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peculiarities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1073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party s possession of a document made by a third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 may well be evidence of the party s knowledge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its contents but is it sufficient to justify an inference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assent to the statements contained therein It is easy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imagine instances in which such an inference would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fallacious Yet since the party may always exculpate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himself and disown the inference by proving the true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reason for this retention of the document the question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remains whether the mere fact of possession ought not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suffice at the outset to make the document receivable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subject to explanations that may later be made This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question was in orthodox practice answered in the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affirmative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בפיפסון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which are or have been in the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possession of a party will as we have seen generally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 admissible against him as original circumstantial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evidence to show his knowledge of their contents his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connection with or complicity in the transactions to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they relate or his state of mind with reference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thereto They will further be receivable against him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admissions i e exceptions to the hearsay rule to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prove the truth of their contents if he has in any way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recognized adopted or acted upon them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1126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משתכפלת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28 11 1960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5 12 1960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שפשרם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20 21 49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Roscoe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1952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court of Criminal Appeal thought that a jury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should be warned to be cautious of the report of what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purported to be a portion of a conversation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which the witness was not intended to hear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הטרנסקריפציה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1127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בסוסנוביץ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Sosnowiec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1128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1945 1933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ההשוואות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ההשוואות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1129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ושייערכו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סטייטמנט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1130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ההיטלריסטים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ניישביז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Nesvizh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Polesye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קומולטיבית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משטוקהולם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1384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והדוויזים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1131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76 000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Mittelstelle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למקבליו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לגוזליהם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1385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1386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נומינליים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רייסכמרק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נומינליים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Spinnstoffe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1388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1132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verarbeitet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האוסטאינדוסטרי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Ostindustrie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GmbH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לגוביינא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1390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ודובינסקי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Wdowinski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1943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1944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Eisernes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Kreuz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מטרומבוזיס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מאינפרקט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1389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1224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position to be cross examined at present as this would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jeopardize his health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1133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1391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witness who has given evidence on oath at a preliminary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examination cannot be produced at the trial because of his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death infirmity or sickness or absence from Palestine his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פרובטיבי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feel that Mr Reiner is not in a position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Gefuhl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Gefuhl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certainly unable to travel by air at the present time and testify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a trial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1134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1156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Hanfova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Cholawski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בניישביז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בביילורוסיה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ניישביז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דיכאה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1135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פוסיסודסקי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Posisodski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Sverze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במנסרה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וכשנתקלו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וכשנתקלו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מתלכדים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1136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הדיכאון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להסתערויות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נליבוקי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Naliboki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Lipiczansk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Volhynia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מהגוויל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1137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מונטגומרי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Lechowicz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הזעזוע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1138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Memorandum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וכיבושיה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Kaserne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כשהתקרבתי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שהתכופפו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המאובקות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300 200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Ottilien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הרפטריאציה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בשטייריה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אוטיליין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בשטייריה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אוריגינלית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הקואופרטיביות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1139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התימהון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1140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