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Anti-Money-Laundering Transaction Monitoring Policy</w:t>
      </w:r>
    </w:p>
    <w:p>
      <w:r>
        <w:rPr>
          <w:i/>
        </w:rPr>
        <w:t>Reporting thresholds, structuring detection and escalation duties</w:t>
      </w:r>
    </w:p>
    <w:p>
      <w:r>
        <w:rPr>
          <w:sz w:val="18"/>
        </w:rPr>
        <w:t>Reference AML-POL-004 | Version 6.2 | Owner: Group Financial Crime Compliance</w:t>
      </w:r>
    </w:p>
    <w:p>
      <w:pPr>
        <w:pStyle w:val="Heading1"/>
      </w:pPr>
      <w:r>
        <w:t>1. Purpose and scope</w:t>
      </w:r>
    </w:p>
    <w:p>
      <w:r>
        <w:t>This policy defines the monetary thresholds, behavioural indicators and escalation duties that govern automated transaction monitoring across all customer payment, card and virtual-asset activity. It applies to every booking entity and to every analyst, whether human or automated, that produces a risk assessment on a customer file. Nothing in this policy replaces the analyst's duty to escalate a suspicion that no rule has captured.</w:t>
      </w:r>
    </w:p>
    <w:p>
      <w:r>
        <w:t>Transaction monitoring in this institution is deliberately asymmetric. The cost of a false positive is one additional review; the cost of a false negative is an undetected predicate offence, a regulatory finding and reputational damage. Where the evidence is ambiguous, the case is escalated, not cleared.</w:t>
      </w:r>
    </w:p>
    <w:p>
      <w:pPr>
        <w:pStyle w:val="Heading1"/>
      </w:pPr>
      <w:r>
        <w:t>2. Reporting thresholds</w:t>
      </w:r>
    </w:p>
    <w:p>
      <w:r>
        <w:t>Two thresholds govern payment monitoring: the single-instruction reporting threshold of 10,000 currency units, and the aggregated 24-hour threshold of 20,000 currency units across three or more instructions. Both are absolute; neither is subject to analyst discretion, and neither is waived by the customer's tenure or segment.</w:t>
      </w:r>
    </w:p>
    <w:p>
      <w:pPr>
        <w:pStyle w:val="Heading2"/>
      </w:pPr>
      <w:r>
        <w:t>2.1 The 10,000 currency-unit reporting threshold</w:t>
      </w:r>
    </w:p>
    <w:p>
      <w:r>
        <w:t>Any single payment instruction with a settled value at or above 10,000 currency units is a reportable transaction. Reportable transactions are recorded, retained for ten years and, where the ordering or beneficiary party cannot be fully identified, reported to the national Financial Intelligence Unit. The threshold applies to the settled amount, not to the instructed amount, and is not reduced by fees.</w:t>
      </w:r>
    </w:p>
    <w:p>
      <w:r>
        <w:t>The threshold is currency-unit based and is applied without conversion tolerance. An instruction of 9,999.99 is not reportable on its face; an instruction of 10,000.00 is. That cliff edge is precisely what makes the band immediately below it the single most informative range in the whole data 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Band</w:t>
            </w:r>
          </w:p>
        </w:tc>
        <w:tc>
          <w:tcPr>
            <w:tcW w:type="dxa" w:w="2880"/>
          </w:tcPr>
          <w:p>
            <w:r>
              <w:rPr>
                <w:b/>
              </w:rPr>
              <w:t>Treatment</w:t>
            </w:r>
          </w:p>
        </w:tc>
        <w:tc>
          <w:tcPr>
            <w:tcW w:type="dxa" w:w="2880"/>
          </w:tcPr>
          <w:p>
            <w:r>
              <w:rPr>
                <w:b/>
              </w:rPr>
              <w:t>Standard action</w:t>
            </w:r>
          </w:p>
        </w:tc>
      </w:tr>
      <w:tr>
        <w:tc>
          <w:tcPr>
            <w:tcW w:type="dxa" w:w="2880"/>
          </w:tcPr>
          <w:p>
            <w:r>
              <w:t>Below 3,000</w:t>
            </w:r>
          </w:p>
        </w:tc>
        <w:tc>
          <w:tcPr>
            <w:tcW w:type="dxa" w:w="2880"/>
          </w:tcPr>
          <w:p>
            <w:r>
              <w:t>Routine</w:t>
            </w:r>
          </w:p>
        </w:tc>
        <w:tc>
          <w:tcPr>
            <w:tcW w:type="dxa" w:w="2880"/>
          </w:tcPr>
          <w:p>
            <w:r>
              <w:t>No monitoring action unless a pattern rule fires</w:t>
            </w:r>
          </w:p>
        </w:tc>
      </w:tr>
      <w:tr>
        <w:tc>
          <w:tcPr>
            <w:tcW w:type="dxa" w:w="2880"/>
          </w:tcPr>
          <w:p>
            <w:r>
              <w:t>3,000 to 7,999.99</w:t>
            </w:r>
          </w:p>
        </w:tc>
        <w:tc>
          <w:tcPr>
            <w:tcW w:type="dxa" w:w="2880"/>
          </w:tcPr>
          <w:p>
            <w:r>
              <w:t>Monitored</w:t>
            </w:r>
          </w:p>
        </w:tc>
        <w:tc>
          <w:tcPr>
            <w:tcW w:type="dxa" w:w="2880"/>
          </w:tcPr>
          <w:p>
            <w:r>
              <w:t>Aggregated into velocity and volume statistics</w:t>
            </w:r>
          </w:p>
        </w:tc>
      </w:tr>
      <w:tr>
        <w:tc>
          <w:tcPr>
            <w:tcW w:type="dxa" w:w="2880"/>
          </w:tcPr>
          <w:p>
            <w:r>
              <w:t>8,000 to 9,999.99</w:t>
            </w:r>
          </w:p>
        </w:tc>
        <w:tc>
          <w:tcPr>
            <w:tcW w:type="dxa" w:w="2880"/>
          </w:tcPr>
          <w:p>
            <w:r>
              <w:t>Threshold-adjacent</w:t>
            </w:r>
          </w:p>
        </w:tc>
        <w:tc>
          <w:tcPr>
            <w:tcW w:type="dxa" w:w="2880"/>
          </w:tcPr>
          <w:p>
            <w:r>
              <w:t>Structuring screen, see section 4</w:t>
            </w:r>
          </w:p>
        </w:tc>
      </w:tr>
      <w:tr>
        <w:tc>
          <w:tcPr>
            <w:tcW w:type="dxa" w:w="2880"/>
          </w:tcPr>
          <w:p>
            <w:r>
              <w:t>10,000 and above</w:t>
            </w:r>
          </w:p>
        </w:tc>
        <w:tc>
          <w:tcPr>
            <w:tcW w:type="dxa" w:w="2880"/>
          </w:tcPr>
          <w:p>
            <w:r>
              <w:t>Reportable</w:t>
            </w:r>
          </w:p>
        </w:tc>
        <w:tc>
          <w:tcPr>
            <w:tcW w:type="dxa" w:w="2880"/>
          </w:tcPr>
          <w:p>
            <w:r>
              <w:t>Record, retain, review the beneficiary</w:t>
            </w:r>
          </w:p>
        </w:tc>
      </w:tr>
      <w:tr>
        <w:tc>
          <w:tcPr>
            <w:tcW w:type="dxa" w:w="2880"/>
          </w:tcPr>
          <w:p>
            <w:r>
              <w:t>75,000 and above</w:t>
            </w:r>
          </w:p>
        </w:tc>
        <w:tc>
          <w:tcPr>
            <w:tcW w:type="dxa" w:w="2880"/>
          </w:tcPr>
          <w:p>
            <w:r>
              <w:t>Enhanced review</w:t>
            </w:r>
          </w:p>
        </w:tc>
        <w:tc>
          <w:tcPr>
            <w:tcW w:type="dxa" w:w="2880"/>
          </w:tcPr>
          <w:p>
            <w:r>
              <w:t>Second-line sign-off before release</w:t>
            </w:r>
          </w:p>
        </w:tc>
      </w:tr>
    </w:tbl>
    <w:p/>
    <w:p>
      <w:pPr>
        <w:pStyle w:val="Heading2"/>
      </w:pPr>
      <w:r>
        <w:t>2.2 Aggregation windows</w:t>
      </w:r>
    </w:p>
    <w:p>
      <w:r>
        <w:t>A single instruction below the threshold does not exempt a customer from reporting duties. Instructions are aggregated over a rolling 24-hour window and a rolling 30-day window per customer. Where the aggregate of a rolling 24-hour window reaches 20,000 currency units across three or more instructions, the window itself is treated as a reportable event even though no individual instruction crossed the threshold.</w:t>
      </w:r>
    </w:p>
    <w:p>
      <w:r>
        <w:t>Aggregation is performed per customer, not per account. Customers who hold several accounts or several payment instruments are aggregated at the customer level, because splitting a payment across instruments is itself a recognised evasion technique.</w:t>
      </w:r>
    </w:p>
    <w:p>
      <w:pPr>
        <w:pStyle w:val="Heading1"/>
      </w:pPr>
      <w:r>
        <w:t>3. Velocity and value spikes</w:t>
      </w:r>
    </w:p>
    <w:p>
      <w:r>
        <w:t>A velocity spike is defined as eight or more transactions of any activity type inside a rolling 24-hour window whose aggregate value exceeds 40,000 currency units. Velocity spikes are not inherently suspicious - salary runs, supplier settlement days and property completions all produce them - but they must be explained. An unexplained velocity spike on a retail customer profile is a strong indicator that the account is being used as a pass-through.</w:t>
      </w:r>
    </w:p>
    <w:p>
      <w:pPr>
        <w:pStyle w:val="ListBullet"/>
      </w:pPr>
      <w:r>
        <w:t>Compare the spike against the customer's own 30-day baseline, not against a portfolio average.</w:t>
      </w:r>
    </w:p>
    <w:p>
      <w:pPr>
        <w:pStyle w:val="ListBullet"/>
      </w:pPr>
      <w:r>
        <w:t>Check whether the spike is composed of round-number amounts, which suggests instruction rather than commerce.</w:t>
      </w:r>
    </w:p>
    <w:p>
      <w:pPr>
        <w:pStyle w:val="ListBullet"/>
      </w:pPr>
      <w:r>
        <w:t>Check whether funds leave the account within 48 hours of arriving, which is the classic funnel-account signature.</w:t>
      </w:r>
    </w:p>
    <w:p>
      <w:pPr>
        <w:pStyle w:val="ListBullet"/>
      </w:pPr>
      <w:r>
        <w:t>Record the explanation. An unexplained spike that recurs in a later period is an escalation, not a repeat review.</w:t>
      </w:r>
    </w:p>
    <w:p>
      <w:r>
        <w:t>High-value activity booked outside normal business hours deserves separate attention. Instructions above 15,000 currency units executed between 00:00 and 05:59 local booking time are flagged, because legitimate corporate and retail flows overwhelmingly settle during business hours while instructed fraud and coerced payments cluster at night.</w:t>
      </w:r>
    </w:p>
    <w:p>
      <w:pPr>
        <w:pStyle w:val="Heading1"/>
      </w:pPr>
      <w:r>
        <w:t>4. Structuring and smurfing</w:t>
      </w:r>
    </w:p>
    <w:p>
      <w:r>
        <w:t>Structuring is the pattern this policy treats most seriously among purely monetary indicators, because unlike a large payment it has no innocent mechanical explanation: the amounts are chosen by the customer with reference to a threshold the customer should not be optimising against. This section defines the offence, lists the indicators the engine screens for, and sets out how to separate it from the legitimate splitting of a payment.</w:t>
      </w:r>
    </w:p>
    <w:p>
      <w:pPr>
        <w:pStyle w:val="Heading2"/>
      </w:pPr>
      <w:r>
        <w:t>4.1 Definition</w:t>
      </w:r>
    </w:p>
    <w:p>
      <w:r>
        <w:t>Structuring is the deliberate division of a larger sum into a series of smaller instructions, each individually below a reporting threshold, with the purpose of avoiding the reporting duty. It is a criminal offence in its own right in most jurisdictions in which this institution operates, independently of whether the underlying funds are of criminal origin. Structuring is therefore reportable even where the source of funds is later shown to be legitimate.</w:t>
      </w:r>
    </w:p>
    <w:p>
      <w:pPr>
        <w:pStyle w:val="Heading2"/>
      </w:pPr>
      <w:r>
        <w:t>4.2 Structuring indicators</w:t>
      </w:r>
    </w:p>
    <w:p>
      <w:r>
        <w:t>No single indicator is conclusive. The following pattern, however, is treated as a presumptive structuring case and requires a Suspicious Activity Report unless the customer file already carries a documented, dated and plausible explanation.</w:t>
      </w:r>
    </w:p>
    <w:p>
      <w:pPr>
        <w:pStyle w:val="ListBullet"/>
      </w:pPr>
      <w:r>
        <w:t>Three or more payments in the 8,000 to 9,999.99 band inside a rolling 24-hour window.</w:t>
      </w:r>
    </w:p>
    <w:p>
      <w:pPr>
        <w:pStyle w:val="ListBullet"/>
      </w:pPr>
      <w:r>
        <w:t>An aggregate of 20,000 currency units or more across that same window.</w:t>
      </w:r>
    </w:p>
    <w:p>
      <w:pPr>
        <w:pStyle w:val="ListBullet"/>
      </w:pPr>
      <w:r>
        <w:t>Amounts that cluster just below the threshold rather than being distributed across the plausible range.</w:t>
      </w:r>
    </w:p>
    <w:p>
      <w:pPr>
        <w:pStyle w:val="ListBullet"/>
      </w:pPr>
      <w:r>
        <w:t>Use of more than one payment rail - for example ACH and peer-to-peer on the same day - for economically identical transfers.</w:t>
      </w:r>
    </w:p>
    <w:p>
      <w:pPr>
        <w:pStyle w:val="ListBullet"/>
      </w:pPr>
      <w:r>
        <w:t>Repetition of the pattern in separate bursts several weeks apart, which distinguishes structuring from a one-off large purchase that was split for operational reasons.</w:t>
      </w:r>
    </w:p>
    <w:p>
      <w:pPr>
        <w:pStyle w:val="Heading2"/>
      </w:pPr>
      <w:r>
        <w:t>4.3 Distinguishing structuring from legitimate splitting</w:t>
      </w:r>
    </w:p>
    <w:p>
      <w:r>
        <w:t>Payments are legitimately split when a counterparty imposes a per-instruction limit, when an escrow schedule requires staged release, or when a card scheme or rail imposes its own cap. In each of those cases the split is externally imposed and the amounts follow the external limit, not the reporting threshold. The distinguishing question is always: does the amount track a commercial constraint, or does it track 10,000?</w:t>
      </w:r>
    </w:p>
    <w:p>
      <w:r>
        <w:t>A customer whose instructions repeatedly land between 9,200 and 9,975 is tracking the threshold. A customer whose instructions land at exactly 5,000 because that is the rail's per-instruction cap is tracking the rail. The first is escalated; the second is documented and cleared.</w:t>
      </w:r>
    </w:p>
    <w:p>
      <w:pPr>
        <w:pStyle w:val="Heading1"/>
      </w:pPr>
      <w:r>
        <w:t>5. Escalation and reporting duties</w:t>
      </w:r>
    </w:p>
    <w:p>
      <w:r>
        <w:t>Where the monitoring engine produces a total risk score in the HIGH or CRITICAL band, a second-line reviewer must be assigned within one business day. Where a structuring or sanctions rule has fired, the review must be completed and the reporting decision documented within three business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Score band</w:t>
            </w:r>
          </w:p>
        </w:tc>
        <w:tc>
          <w:tcPr>
            <w:tcW w:type="dxa" w:w="2880"/>
          </w:tcPr>
          <w:p>
            <w:r>
              <w:rPr>
                <w:b/>
              </w:rPr>
              <w:t>Risk level</w:t>
            </w:r>
          </w:p>
        </w:tc>
        <w:tc>
          <w:tcPr>
            <w:tcW w:type="dxa" w:w="2880"/>
          </w:tcPr>
          <w:p>
            <w:r>
              <w:rPr>
                <w:b/>
              </w:rPr>
              <w:t>Required action</w:t>
            </w:r>
          </w:p>
        </w:tc>
      </w:tr>
      <w:tr>
        <w:tc>
          <w:tcPr>
            <w:tcW w:type="dxa" w:w="2880"/>
          </w:tcPr>
          <w:p>
            <w:r>
              <w:t>0 to 24</w:t>
            </w:r>
          </w:p>
        </w:tc>
        <w:tc>
          <w:tcPr>
            <w:tcW w:type="dxa" w:w="2880"/>
          </w:tcPr>
          <w:p>
            <w:r>
              <w:t>LOW</w:t>
            </w:r>
          </w:p>
        </w:tc>
        <w:tc>
          <w:tcPr>
            <w:tcW w:type="dxa" w:w="2880"/>
          </w:tcPr>
          <w:p>
            <w:r>
              <w:t>Automated file note, no manual review</w:t>
            </w:r>
          </w:p>
        </w:tc>
      </w:tr>
      <w:tr>
        <w:tc>
          <w:tcPr>
            <w:tcW w:type="dxa" w:w="2880"/>
          </w:tcPr>
          <w:p>
            <w:r>
              <w:t>25 to 49</w:t>
            </w:r>
          </w:p>
        </w:tc>
        <w:tc>
          <w:tcPr>
            <w:tcW w:type="dxa" w:w="2880"/>
          </w:tcPr>
          <w:p>
            <w:r>
              <w:t>MEDIUM</w:t>
            </w:r>
          </w:p>
        </w:tc>
        <w:tc>
          <w:tcPr>
            <w:tcW w:type="dxa" w:w="2880"/>
          </w:tcPr>
          <w:p>
            <w:r>
              <w:t>First-line review within five business days</w:t>
            </w:r>
          </w:p>
        </w:tc>
      </w:tr>
      <w:tr>
        <w:tc>
          <w:tcPr>
            <w:tcW w:type="dxa" w:w="2880"/>
          </w:tcPr>
          <w:p>
            <w:r>
              <w:t>50 to 74</w:t>
            </w:r>
          </w:p>
        </w:tc>
        <w:tc>
          <w:tcPr>
            <w:tcW w:type="dxa" w:w="2880"/>
          </w:tcPr>
          <w:p>
            <w:r>
              <w:t>HIGH</w:t>
            </w:r>
          </w:p>
        </w:tc>
        <w:tc>
          <w:tcPr>
            <w:tcW w:type="dxa" w:w="2880"/>
          </w:tcPr>
          <w:p>
            <w:r>
              <w:t>Second-line review within one business day</w:t>
            </w:r>
          </w:p>
        </w:tc>
      </w:tr>
      <w:tr>
        <w:tc>
          <w:tcPr>
            <w:tcW w:type="dxa" w:w="2880"/>
          </w:tcPr>
          <w:p>
            <w:r>
              <w:t>75 and above</w:t>
            </w:r>
          </w:p>
        </w:tc>
        <w:tc>
          <w:tcPr>
            <w:tcW w:type="dxa" w:w="2880"/>
          </w:tcPr>
          <w:p>
            <w:r>
              <w:t>CRITICAL</w:t>
            </w:r>
          </w:p>
        </w:tc>
        <w:tc>
          <w:tcPr>
            <w:tcW w:type="dxa" w:w="2880"/>
          </w:tcPr>
          <w:p>
            <w:r>
              <w:t>Immediate second-line review, consider account restriction</w:t>
            </w:r>
          </w:p>
        </w:tc>
      </w:tr>
    </w:tbl>
    <w:p/>
    <w:p>
      <w:r>
        <w:t>Every rule in the monitoring rule set must be evaluated on every analysis, including rules that do not fire. A rule that was not evaluated is treated for audit purposes as a rule that failed, because an unevaluated rule cannot support the conclusion that no risk was 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Anti-Money-Laundering Transaction Monitoring Policy</dc:title>
  <dc:subject/>
  <dc:creator>Group Financial Crime Compliance</dc:creator>
  <cp:keywords/>
  <dc:description>generated by python-docx</dc:description>
  <cp:lastModifiedBy/>
  <cp:revision>1</cp:revision>
  <dcterms:created xsi:type="dcterms:W3CDTF">2013-12-23T23:15:00Z</dcterms:created>
  <dcterms:modified xsi:type="dcterms:W3CDTF">2013-12-23T23:15:00Z</dcterms:modified>
  <cp:category>Policy</cp:category>
</cp:coreProperties>
</file>